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7261A" w14:textId="77777777" w:rsidR="00CB0A10" w:rsidRDefault="00CB0A10">
      <w:pPr>
        <w:spacing w:after="0"/>
        <w:jc w:val="left"/>
        <w:rPr>
          <w:rFonts w:ascii="Arial" w:eastAsia="Arial" w:hAnsi="Arial"/>
          <w:b/>
          <w:sz w:val="36"/>
          <w:szCs w:val="36"/>
        </w:rPr>
      </w:pPr>
    </w:p>
    <w:p w14:paraId="605D7874" w14:textId="77777777" w:rsidR="00CB0A10" w:rsidRDefault="00490BDE">
      <w:pPr>
        <w:rPr>
          <w:rFonts w:ascii="Arial" w:eastAsia="Arial" w:hAnsi="Arial"/>
          <w:b/>
          <w:sz w:val="36"/>
          <w:szCs w:val="36"/>
        </w:rPr>
      </w:pPr>
      <w:r>
        <w:rPr>
          <w:rFonts w:ascii="Arial" w:eastAsia="Arial" w:hAnsi="Arial"/>
          <w:b/>
          <w:sz w:val="36"/>
          <w:szCs w:val="36"/>
        </w:rPr>
        <w:t>Order Schedule 2 (Staff Transfer)</w:t>
      </w:r>
    </w:p>
    <w:p w14:paraId="7CE2DF24" w14:textId="77777777" w:rsidR="00CB0A10" w:rsidRDefault="00490BDE">
      <w:pPr>
        <w:keepNext/>
        <w:pBdr>
          <w:top w:val="nil"/>
          <w:left w:val="nil"/>
          <w:bottom w:val="nil"/>
          <w:right w:val="nil"/>
          <w:between w:val="nil"/>
        </w:pBdr>
        <w:rPr>
          <w:rFonts w:ascii="Arial" w:eastAsia="Arial" w:hAnsi="Arial"/>
          <w:b/>
          <w:smallCaps/>
          <w:color w:val="000000"/>
          <w:sz w:val="24"/>
          <w:szCs w:val="24"/>
        </w:rPr>
      </w:pPr>
      <w:bookmarkStart w:id="0" w:name="_heading=h.gjdgxs" w:colFirst="0" w:colLast="0"/>
      <w:bookmarkEnd w:id="0"/>
      <w:r>
        <w:t xml:space="preserve">                                                  </w:t>
      </w:r>
    </w:p>
    <w:p w14:paraId="26976296" w14:textId="77777777" w:rsidR="00CB0A10" w:rsidRDefault="00490BDE">
      <w:pPr>
        <w:keepNext/>
        <w:numPr>
          <w:ilvl w:val="0"/>
          <w:numId w:val="10"/>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14:paraId="18ADEDBC" w14:textId="77777777" w:rsidR="00CB0A10" w:rsidRDefault="00490BDE">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f0"/>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CB0A10" w14:paraId="79515A23" w14:textId="77777777">
        <w:tc>
          <w:tcPr>
            <w:tcW w:w="2917" w:type="dxa"/>
          </w:tcPr>
          <w:p w14:paraId="63860595" w14:textId="77777777" w:rsidR="00CB0A10" w:rsidRDefault="00490BDE">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27911F7D" w14:textId="77777777" w:rsidR="00CB0A10" w:rsidRDefault="00490BDE">
            <w:pPr>
              <w:tabs>
                <w:tab w:val="left" w:pos="-179"/>
                <w:tab w:val="left" w:pos="-9"/>
              </w:tabs>
              <w:spacing w:after="120"/>
              <w:ind w:left="0" w:firstLine="0"/>
              <w:rPr>
                <w:rFonts w:ascii="Arial" w:eastAsia="Arial" w:hAnsi="Arial"/>
                <w:sz w:val="24"/>
                <w:szCs w:val="24"/>
              </w:rPr>
            </w:pPr>
            <w:r>
              <w:rPr>
                <w:rFonts w:ascii="Arial" w:eastAsia="Arial" w:hAnsi="Arial"/>
                <w:sz w:val="24"/>
                <w:szCs w:val="24"/>
              </w:rPr>
              <w:t>the European Council Directive 77/187/</w:t>
            </w:r>
            <w:proofErr w:type="gramStart"/>
            <w:r>
              <w:rPr>
                <w:rFonts w:ascii="Arial" w:eastAsia="Arial" w:hAnsi="Arial"/>
                <w:sz w:val="24"/>
                <w:szCs w:val="24"/>
              </w:rPr>
              <w:t>EEC  on</w:t>
            </w:r>
            <w:proofErr w:type="gramEnd"/>
            <w:r>
              <w:rPr>
                <w:rFonts w:ascii="Arial" w:eastAsia="Arial" w:hAnsi="Arial"/>
                <w:sz w:val="24"/>
                <w:szCs w:val="24"/>
              </w:rPr>
              <w:t xml:space="preserve"> the approximation of laws of European member states relating to the safeguarding of employees’ rights in the event of transfers of undertakings, businesses or parts of undertakings or businesses, as amended or </w:t>
            </w:r>
            <w:r>
              <w:rPr>
                <w:rFonts w:ascii="Arial" w:eastAsia="Arial" w:hAnsi="Arial"/>
                <w:sz w:val="24"/>
                <w:szCs w:val="24"/>
              </w:rPr>
              <w:t>re-enacted from time to time;</w:t>
            </w:r>
          </w:p>
          <w:p w14:paraId="0571C9A4" w14:textId="77777777" w:rsidR="00CB0A10" w:rsidRDefault="00CB0A10">
            <w:pPr>
              <w:tabs>
                <w:tab w:val="left" w:pos="-179"/>
                <w:tab w:val="left" w:pos="-9"/>
              </w:tabs>
              <w:spacing w:after="120"/>
              <w:ind w:left="170" w:firstLine="0"/>
              <w:rPr>
                <w:rFonts w:ascii="Arial" w:eastAsia="Arial" w:hAnsi="Arial"/>
                <w:sz w:val="24"/>
                <w:szCs w:val="24"/>
              </w:rPr>
            </w:pPr>
          </w:p>
        </w:tc>
      </w:tr>
      <w:tr w:rsidR="00CB0A10" w14:paraId="74B80547" w14:textId="77777777">
        <w:tc>
          <w:tcPr>
            <w:tcW w:w="2917" w:type="dxa"/>
          </w:tcPr>
          <w:p w14:paraId="40FBEE72" w14:textId="77777777" w:rsidR="00CB0A10" w:rsidRDefault="00490BDE">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14:paraId="1BF75D77" w14:textId="77777777" w:rsidR="00CB0A10" w:rsidRDefault="00490BDE">
            <w:pPr>
              <w:tabs>
                <w:tab w:val="left" w:pos="-179"/>
                <w:tab w:val="left" w:pos="-9"/>
              </w:tabs>
              <w:spacing w:after="120"/>
              <w:ind w:left="170" w:firstLine="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w:t>
            </w:r>
            <w:r>
              <w:rPr>
                <w:rFonts w:ascii="Arial" w:eastAsia="Arial" w:hAnsi="Arial"/>
                <w:sz w:val="24"/>
                <w:szCs w:val="24"/>
              </w:rPr>
              <w:t>s, fine, loss, order, penalty, disbursement, payment made by way of settlement and costs, expenses and legal costs reasonably incurred in connection with a claim or investigation including in relation to the following:</w:t>
            </w:r>
          </w:p>
          <w:p w14:paraId="7BC94DBB" w14:textId="77777777" w:rsidR="00CB0A10" w:rsidRDefault="00490BDE">
            <w:pPr>
              <w:numPr>
                <w:ilvl w:val="1"/>
                <w:numId w:val="7"/>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CB0A10" w14:paraId="47AC89AC" w14:textId="77777777">
        <w:tc>
          <w:tcPr>
            <w:tcW w:w="2917" w:type="dxa"/>
          </w:tcPr>
          <w:p w14:paraId="52AF68DB" w14:textId="77777777" w:rsidR="00CB0A10" w:rsidRDefault="00CB0A1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2E568156" w14:textId="77777777" w:rsidR="00CB0A10" w:rsidRDefault="00490BDE">
            <w:pPr>
              <w:numPr>
                <w:ilvl w:val="1"/>
                <w:numId w:val="7"/>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CB0A10" w14:paraId="3DF3099B" w14:textId="77777777">
        <w:tc>
          <w:tcPr>
            <w:tcW w:w="2917" w:type="dxa"/>
          </w:tcPr>
          <w:p w14:paraId="412A65A0" w14:textId="77777777" w:rsidR="00CB0A10" w:rsidRDefault="00CB0A1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1289724F" w14:textId="77777777" w:rsidR="00CB0A10" w:rsidRDefault="00490BDE">
            <w:pPr>
              <w:numPr>
                <w:ilvl w:val="1"/>
                <w:numId w:val="7"/>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w:t>
            </w:r>
            <w:r>
              <w:rPr>
                <w:rFonts w:ascii="Arial" w:eastAsia="Arial" w:hAnsi="Arial"/>
                <w:sz w:val="24"/>
                <w:szCs w:val="24"/>
              </w:rPr>
              <w:t xml:space="preserve">or belief, gender reassignment, marriage or civil partnership, pregnancy and </w:t>
            </w:r>
            <w:proofErr w:type="gramStart"/>
            <w:r>
              <w:rPr>
                <w:rFonts w:ascii="Arial" w:eastAsia="Arial" w:hAnsi="Arial"/>
                <w:sz w:val="24"/>
                <w:szCs w:val="24"/>
              </w:rPr>
              <w:t>maternity  or</w:t>
            </w:r>
            <w:proofErr w:type="gramEnd"/>
            <w:r>
              <w:rPr>
                <w:rFonts w:ascii="Arial" w:eastAsia="Arial" w:hAnsi="Arial"/>
                <w:sz w:val="24"/>
                <w:szCs w:val="24"/>
              </w:rPr>
              <w:t xml:space="preserve"> sexual orientation or claims for equal pay; </w:t>
            </w:r>
          </w:p>
        </w:tc>
      </w:tr>
      <w:tr w:rsidR="00CB0A10" w14:paraId="6707C278" w14:textId="77777777">
        <w:tc>
          <w:tcPr>
            <w:tcW w:w="2917" w:type="dxa"/>
          </w:tcPr>
          <w:p w14:paraId="2FC44F09" w14:textId="77777777" w:rsidR="00CB0A10" w:rsidRDefault="00CB0A1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1918C9F0" w14:textId="77777777" w:rsidR="00CB0A10" w:rsidRDefault="00490BDE">
            <w:pPr>
              <w:numPr>
                <w:ilvl w:val="1"/>
                <w:numId w:val="7"/>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CB0A10" w14:paraId="57811CD0" w14:textId="77777777">
        <w:tc>
          <w:tcPr>
            <w:tcW w:w="2917" w:type="dxa"/>
          </w:tcPr>
          <w:p w14:paraId="2FBC5DF8" w14:textId="77777777" w:rsidR="00CB0A10" w:rsidRDefault="00CB0A1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86DCDE8" w14:textId="77777777" w:rsidR="00CB0A10" w:rsidRDefault="00490BDE">
            <w:pPr>
              <w:numPr>
                <w:ilvl w:val="1"/>
                <w:numId w:val="7"/>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CB0A10" w14:paraId="62F7B69D" w14:textId="77777777">
        <w:tc>
          <w:tcPr>
            <w:tcW w:w="2917" w:type="dxa"/>
          </w:tcPr>
          <w:p w14:paraId="0F3B481C" w14:textId="77777777" w:rsidR="00CB0A10" w:rsidRDefault="00CB0A10">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04A06E7" w14:textId="77777777" w:rsidR="00CB0A10" w:rsidRDefault="00490BDE">
            <w:pPr>
              <w:numPr>
                <w:ilvl w:val="1"/>
                <w:numId w:val="7"/>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CB0A10" w14:paraId="5B7B8603" w14:textId="77777777">
        <w:tc>
          <w:tcPr>
            <w:tcW w:w="2917" w:type="dxa"/>
          </w:tcPr>
          <w:p w14:paraId="5425980D" w14:textId="77777777" w:rsidR="00CB0A10" w:rsidRDefault="00CB0A10">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4146FD98" w14:textId="77777777" w:rsidR="00CB0A10" w:rsidRDefault="00490BDE">
            <w:pPr>
              <w:numPr>
                <w:ilvl w:val="1"/>
                <w:numId w:val="7"/>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w:t>
            </w:r>
            <w:r>
              <w:rPr>
                <w:rFonts w:ascii="Arial" w:eastAsia="Arial" w:hAnsi="Arial"/>
                <w:sz w:val="24"/>
                <w:szCs w:val="24"/>
              </w:rPr>
              <w:t>y and Human Rights Commission or other enforcement, regulatory or supervisory body and of implementing any requirements which may arise from such investigation;</w:t>
            </w:r>
          </w:p>
        </w:tc>
      </w:tr>
      <w:tr w:rsidR="00CB0A10" w14:paraId="6FB6BAF1" w14:textId="77777777">
        <w:tc>
          <w:tcPr>
            <w:tcW w:w="2917" w:type="dxa"/>
          </w:tcPr>
          <w:p w14:paraId="2CD0FA1B"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6817AF8E" w14:textId="77777777" w:rsidR="00CB0A10" w:rsidRDefault="00490BDE">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sz w:val="24"/>
                <w:szCs w:val="24"/>
              </w:rPr>
              <w:t>Subcontractor);</w:t>
            </w:r>
          </w:p>
        </w:tc>
      </w:tr>
      <w:tr w:rsidR="00CB0A10" w14:paraId="632416FA" w14:textId="77777777">
        <w:trPr>
          <w:trHeight w:val="3560"/>
        </w:trPr>
        <w:tc>
          <w:tcPr>
            <w:tcW w:w="2917" w:type="dxa"/>
          </w:tcPr>
          <w:p w14:paraId="502EA004"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14:paraId="27BDAC05" w14:textId="77777777" w:rsidR="00CB0A10" w:rsidRDefault="00490BD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327D0B3E" w14:textId="77777777" w:rsidR="00CB0A10" w:rsidRDefault="00490BDE">
            <w:pPr>
              <w:numPr>
                <w:ilvl w:val="5"/>
                <w:numId w:val="7"/>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022511AF" w14:textId="77777777" w:rsidR="00CB0A10" w:rsidRDefault="00490BDE">
            <w:pPr>
              <w:numPr>
                <w:ilvl w:val="5"/>
                <w:numId w:val="7"/>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CB0A10" w14:paraId="0B2C85EB" w14:textId="77777777">
        <w:trPr>
          <w:trHeight w:val="1824"/>
        </w:trPr>
        <w:tc>
          <w:tcPr>
            <w:tcW w:w="2917" w:type="dxa"/>
          </w:tcPr>
          <w:p w14:paraId="7A925BB2"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5BD4BB91" w14:textId="77777777" w:rsidR="00CB0A10" w:rsidRDefault="00490BD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w:t>
            </w:r>
            <w:r>
              <w:rPr>
                <w:rFonts w:ascii="Arial" w:eastAsia="Arial" w:hAnsi="Arial"/>
                <w:i/>
                <w:sz w:val="24"/>
                <w:szCs w:val="24"/>
              </w:rPr>
              <w:t>s</w:t>
            </w:r>
            <w:r>
              <w:rPr>
                <w:rFonts w:ascii="Arial" w:eastAsia="Arial" w:hAnsi="Arial"/>
                <w:sz w:val="24"/>
                <w:szCs w:val="24"/>
              </w:rPr>
              <w:t>” issued in June 2004;</w:t>
            </w:r>
          </w:p>
        </w:tc>
      </w:tr>
      <w:tr w:rsidR="00CB0A10" w14:paraId="5420F3AA" w14:textId="77777777">
        <w:tc>
          <w:tcPr>
            <w:tcW w:w="2917" w:type="dxa"/>
          </w:tcPr>
          <w:p w14:paraId="461A2C7D"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75298003" w14:textId="77777777" w:rsidR="00CB0A10" w:rsidRDefault="00490BDE">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CB0A10" w14:paraId="54332514" w14:textId="77777777">
        <w:tc>
          <w:tcPr>
            <w:tcW w:w="2917" w:type="dxa"/>
          </w:tcPr>
          <w:p w14:paraId="0F30B546"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5AA70336" w14:textId="77777777" w:rsidR="00CB0A10" w:rsidRDefault="00490BDE">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CB0A10" w14:paraId="3A167B58" w14:textId="77777777">
        <w:tc>
          <w:tcPr>
            <w:tcW w:w="2917" w:type="dxa"/>
          </w:tcPr>
          <w:p w14:paraId="492250C6"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448193F8" w14:textId="77777777" w:rsidR="00CB0A10" w:rsidRDefault="00490BDE">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 xml:space="preserve">in relation to a Relevant Transfer, the date upon which the Relevant Transfer takes place. For the purposes of Part D: Pensions and its Annexes, where the Supplier or a Subcontractor was the Former Supplier and there </w:t>
            </w:r>
            <w:r>
              <w:rPr>
                <w:rFonts w:ascii="Arial" w:eastAsia="Arial" w:hAnsi="Arial"/>
                <w:sz w:val="24"/>
                <w:szCs w:val="24"/>
              </w:rPr>
              <w:lastRenderedPageBreak/>
              <w:t>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CB0A10" w14:paraId="7AA002A0" w14:textId="77777777">
        <w:tc>
          <w:tcPr>
            <w:tcW w:w="2917" w:type="dxa"/>
          </w:tcPr>
          <w:p w14:paraId="0B86A82D" w14:textId="77777777" w:rsidR="00CB0A10" w:rsidRDefault="00490BDE">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47EE8B95" w14:textId="77777777" w:rsidR="00CB0A10" w:rsidRDefault="00490BDE">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14:paraId="256DA6AD" w14:textId="77777777" w:rsidR="00CB0A10" w:rsidRDefault="00490BDE">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CB0A10" w14:paraId="7DB2820A" w14:textId="77777777">
        <w:tc>
          <w:tcPr>
            <w:tcW w:w="2917" w:type="dxa"/>
          </w:tcPr>
          <w:p w14:paraId="6791B4C6"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BD10B7C"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CB0A10" w14:paraId="5DCEDF72" w14:textId="77777777">
        <w:tc>
          <w:tcPr>
            <w:tcW w:w="2917" w:type="dxa"/>
          </w:tcPr>
          <w:p w14:paraId="4433AC59"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D67AFC5" w14:textId="77777777" w:rsidR="00CB0A10" w:rsidRDefault="00490BDE">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CB0A10" w14:paraId="41E5F455" w14:textId="77777777">
        <w:tc>
          <w:tcPr>
            <w:tcW w:w="2917" w:type="dxa"/>
          </w:tcPr>
          <w:p w14:paraId="645F122C"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E490232"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CB0A10" w14:paraId="26834D53" w14:textId="77777777">
        <w:tc>
          <w:tcPr>
            <w:tcW w:w="2917" w:type="dxa"/>
          </w:tcPr>
          <w:p w14:paraId="2DDB3540"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4D969FF5"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CB0A10" w14:paraId="4C575D2E" w14:textId="77777777">
        <w:tc>
          <w:tcPr>
            <w:tcW w:w="2917" w:type="dxa"/>
          </w:tcPr>
          <w:p w14:paraId="163A4265"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411DCFB"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w:t>
            </w:r>
            <w:r>
              <w:rPr>
                <w:rFonts w:ascii="Arial" w:eastAsia="Arial" w:hAnsi="Arial"/>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CB0A10" w14:paraId="7DF06AE6" w14:textId="77777777">
        <w:tc>
          <w:tcPr>
            <w:tcW w:w="2917" w:type="dxa"/>
          </w:tcPr>
          <w:p w14:paraId="4E9E78F0"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092771D"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CB0A10" w14:paraId="5A9EE7A7" w14:textId="77777777">
        <w:tc>
          <w:tcPr>
            <w:tcW w:w="2917" w:type="dxa"/>
          </w:tcPr>
          <w:p w14:paraId="0B41F1D1"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BE6A6EE"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CB0A10" w14:paraId="4CFFC8E4" w14:textId="77777777">
        <w:tc>
          <w:tcPr>
            <w:tcW w:w="2917" w:type="dxa"/>
          </w:tcPr>
          <w:p w14:paraId="1D29E0CA"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AA1672B"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r>
            <w:r>
              <w:rPr>
                <w:rFonts w:ascii="Arial" w:eastAsia="Arial" w:hAnsi="Arial"/>
                <w:sz w:val="24"/>
                <w:szCs w:val="24"/>
              </w:rPr>
              <w:t xml:space="preserve">copies of all relevant documents and materials relating to such information, including copies of </w:t>
            </w:r>
            <w:r>
              <w:rPr>
                <w:rFonts w:ascii="Arial" w:eastAsia="Arial" w:hAnsi="Arial"/>
                <w:sz w:val="24"/>
                <w:szCs w:val="24"/>
              </w:rPr>
              <w:lastRenderedPageBreak/>
              <w:t>relevant contracts of employment (or relevant standard contracts if applied generally in respect of such employees); and</w:t>
            </w:r>
          </w:p>
        </w:tc>
      </w:tr>
      <w:tr w:rsidR="00CB0A10" w14:paraId="57D0B3F5" w14:textId="77777777">
        <w:tc>
          <w:tcPr>
            <w:tcW w:w="2917" w:type="dxa"/>
          </w:tcPr>
          <w:p w14:paraId="0BCABEBA" w14:textId="77777777" w:rsidR="00CB0A10" w:rsidRDefault="00CB0A10">
            <w:pPr>
              <w:pBdr>
                <w:top w:val="nil"/>
                <w:left w:val="nil"/>
                <w:bottom w:val="nil"/>
                <w:right w:val="nil"/>
                <w:between w:val="nil"/>
              </w:pBdr>
              <w:spacing w:before="120" w:after="120"/>
              <w:ind w:left="709" w:firstLine="0"/>
              <w:rPr>
                <w:rFonts w:ascii="Arial" w:eastAsia="Arial" w:hAnsi="Arial"/>
                <w:b/>
                <w:sz w:val="24"/>
                <w:szCs w:val="24"/>
              </w:rPr>
            </w:pPr>
          </w:p>
          <w:p w14:paraId="7C03AE9F" w14:textId="77777777" w:rsidR="00CB0A10" w:rsidRDefault="00CB0A10">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344F0DC9" w14:textId="77777777" w:rsidR="00CB0A10" w:rsidRDefault="00490BD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CB0A10" w14:paraId="5CE15AA6" w14:textId="77777777">
        <w:tc>
          <w:tcPr>
            <w:tcW w:w="2917" w:type="dxa"/>
          </w:tcPr>
          <w:p w14:paraId="7C9492F8"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6AD7338B" w14:textId="77777777" w:rsidR="00CB0A10" w:rsidRDefault="00490BD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CB0A10" w14:paraId="6EDAE525" w14:textId="77777777">
        <w:tc>
          <w:tcPr>
            <w:tcW w:w="2917" w:type="dxa"/>
          </w:tcPr>
          <w:p w14:paraId="4C5F7596"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052EC8D2" w14:textId="77777777" w:rsidR="00CB0A10" w:rsidRDefault="00490BDE">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 xml:space="preserve">a list prepared and updated by the Supplier of all Supplier Staff who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CB0A10" w14:paraId="2D9EED36" w14:textId="77777777">
        <w:tc>
          <w:tcPr>
            <w:tcW w:w="2917" w:type="dxa"/>
          </w:tcPr>
          <w:p w14:paraId="5E95B9DF"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31087C8D" w14:textId="77777777" w:rsidR="00CB0A10" w:rsidRDefault="00490BDE">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CB0A10" w14:paraId="1824C8F6" w14:textId="77777777">
        <w:tc>
          <w:tcPr>
            <w:tcW w:w="2917" w:type="dxa"/>
          </w:tcPr>
          <w:p w14:paraId="44FF0F1A"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07F33429" w14:textId="77777777" w:rsidR="00CB0A10" w:rsidRDefault="00490BDE">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w:t>
            </w:r>
            <w:r>
              <w:rPr>
                <w:rFonts w:ascii="Arial" w:eastAsia="Arial" w:hAnsi="Arial"/>
                <w:sz w:val="24"/>
                <w:szCs w:val="24"/>
              </w:rPr>
              <w:t>ns will apply on the Relevant Transfer Date;</w:t>
            </w:r>
          </w:p>
        </w:tc>
      </w:tr>
      <w:tr w:rsidR="00CB0A10" w14:paraId="6270C385" w14:textId="77777777">
        <w:tc>
          <w:tcPr>
            <w:tcW w:w="2917" w:type="dxa"/>
          </w:tcPr>
          <w:p w14:paraId="563E4475" w14:textId="77777777" w:rsidR="00CB0A10" w:rsidRDefault="00490BDE">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2DD51419" w14:textId="77777777" w:rsidR="00CB0A10" w:rsidRDefault="00490BDE">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1B09A740" w14:textId="77777777" w:rsidR="00CB0A10" w:rsidRDefault="00490BDE">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5C62053C" w14:textId="77777777" w:rsidR="00CB0A10" w:rsidRDefault="00490BDE">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14:paraId="376FB779" w14:textId="77777777" w:rsidR="00CB0A10" w:rsidRDefault="00490BD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of this Schedule (together “Third Party Provisions”) confer benefits on third parties (each</w:t>
      </w:r>
      <w:r>
        <w:rPr>
          <w:rFonts w:ascii="Arial" w:eastAsia="Arial" w:hAnsi="Arial"/>
          <w:color w:val="000000"/>
          <w:sz w:val="24"/>
          <w:szCs w:val="24"/>
        </w:rPr>
        <w:t xml:space="preserve"> such person a “Third Party Beneficiary”) and are intended to be enforceable by Third Party Beneficiaries by virtue of the CRTPA.  </w:t>
      </w:r>
    </w:p>
    <w:p w14:paraId="53DE6D47" w14:textId="77777777" w:rsidR="00CB0A10" w:rsidRDefault="00490BD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Subject to Paragraph 2.2 above, a person who is not a Party to this Order Contract has no right under the CRTPA to enforce a</w:t>
      </w:r>
      <w:r>
        <w:rPr>
          <w:rFonts w:ascii="Arial" w:eastAsia="Arial" w:hAnsi="Arial"/>
          <w:color w:val="000000"/>
          <w:sz w:val="24"/>
          <w:szCs w:val="24"/>
        </w:rPr>
        <w:t xml:space="preserve">ny term of this Order Contract but this does not affect any right or remedy of any person which exists or is available otherwise than pursuant to that Act. </w:t>
      </w:r>
    </w:p>
    <w:p w14:paraId="17133235" w14:textId="77777777" w:rsidR="00CB0A10" w:rsidRDefault="00490BD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w:t>
      </w:r>
      <w:r>
        <w:rPr>
          <w:rFonts w:ascii="Arial" w:eastAsia="Arial" w:hAnsi="Arial"/>
          <w:color w:val="000000"/>
          <w:sz w:val="24"/>
          <w:szCs w:val="24"/>
        </w:rPr>
        <w:t>out the prior written consent of the Buyer, which may, if given, be given on and subject to such terms as the Buyer may determine.</w:t>
      </w:r>
    </w:p>
    <w:p w14:paraId="5679E6EE" w14:textId="77777777" w:rsidR="00CB0A10" w:rsidRDefault="00490BD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modifications to this Order Contract may be made, and any rights created under Paragraph 2.2 above may be a</w:t>
      </w:r>
      <w:r>
        <w:rPr>
          <w:rFonts w:ascii="Arial" w:eastAsia="Arial" w:hAnsi="Arial"/>
          <w:color w:val="000000"/>
          <w:sz w:val="24"/>
          <w:szCs w:val="24"/>
        </w:rPr>
        <w:t xml:space="preserve">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1D9D23D6" w14:textId="77777777" w:rsidR="00CB0A10" w:rsidRDefault="00490BDE">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 xml:space="preserve">Which parts of this Schedule </w:t>
      </w:r>
      <w:proofErr w:type="gramStart"/>
      <w:r>
        <w:rPr>
          <w:rFonts w:ascii="Arial" w:eastAsia="Arial" w:hAnsi="Arial"/>
          <w:b/>
          <w:color w:val="000000"/>
          <w:sz w:val="24"/>
          <w:szCs w:val="24"/>
        </w:rPr>
        <w:t>apply</w:t>
      </w:r>
      <w:proofErr w:type="gramEnd"/>
    </w:p>
    <w:p w14:paraId="30748762" w14:textId="77777777" w:rsidR="00CB0A10" w:rsidRDefault="00490BDE">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017A8EC0" w14:textId="77777777" w:rsidR="00CB0A10" w:rsidRDefault="00490BDE">
      <w:pPr>
        <w:numPr>
          <w:ilvl w:val="1"/>
          <w:numId w:val="3"/>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55C30E8D" w14:textId="77777777" w:rsidR="00CB0A10" w:rsidRDefault="00490BDE">
      <w:pPr>
        <w:numPr>
          <w:ilvl w:val="1"/>
          <w:numId w:val="3"/>
        </w:numPr>
        <w:spacing w:after="0" w:line="259" w:lineRule="auto"/>
        <w:rPr>
          <w:rFonts w:ascii="Arial" w:eastAsia="Arial" w:hAnsi="Arial"/>
          <w:sz w:val="24"/>
          <w:szCs w:val="24"/>
        </w:rPr>
      </w:pPr>
      <w:r>
        <w:rPr>
          <w:rFonts w:ascii="Arial" w:eastAsia="Arial" w:hAnsi="Arial"/>
          <w:sz w:val="24"/>
          <w:szCs w:val="24"/>
        </w:rPr>
        <w:t>Pa</w:t>
      </w:r>
      <w:r>
        <w:rPr>
          <w:rFonts w:ascii="Arial" w:eastAsia="Arial" w:hAnsi="Arial"/>
          <w:sz w:val="24"/>
          <w:szCs w:val="24"/>
        </w:rPr>
        <w:t xml:space="preserve">rt D (Pensions) but only to the extent it supports Part </w:t>
      </w:r>
      <w:proofErr w:type="gramStart"/>
      <w:r>
        <w:rPr>
          <w:rFonts w:ascii="Arial" w:eastAsia="Arial" w:hAnsi="Arial"/>
          <w:sz w:val="24"/>
          <w:szCs w:val="24"/>
        </w:rPr>
        <w:t>E  (</w:t>
      </w:r>
      <w:proofErr w:type="gramEnd"/>
      <w:r>
        <w:rPr>
          <w:rFonts w:ascii="Arial" w:eastAsia="Arial" w:hAnsi="Arial"/>
          <w:sz w:val="24"/>
          <w:szCs w:val="24"/>
        </w:rPr>
        <w:t>Staff Transfer on Exit)</w:t>
      </w:r>
    </w:p>
    <w:p w14:paraId="371216E8" w14:textId="77777777" w:rsidR="00CB0A10" w:rsidRDefault="00490BDE">
      <w:pPr>
        <w:numPr>
          <w:ilvl w:val="1"/>
          <w:numId w:val="3"/>
        </w:numPr>
        <w:spacing w:after="0" w:line="259" w:lineRule="auto"/>
        <w:rPr>
          <w:rFonts w:ascii="Arial" w:eastAsia="Arial" w:hAnsi="Arial"/>
          <w:sz w:val="24"/>
          <w:szCs w:val="24"/>
        </w:rPr>
      </w:pPr>
      <w:r>
        <w:rPr>
          <w:rFonts w:ascii="Arial" w:eastAsia="Arial" w:hAnsi="Arial"/>
          <w:sz w:val="24"/>
          <w:szCs w:val="24"/>
        </w:rPr>
        <w:t>Part E (Staff Transfer on Exit)</w:t>
      </w:r>
    </w:p>
    <w:p w14:paraId="4C05A5DC" w14:textId="77777777" w:rsidR="00CB0A10" w:rsidRDefault="00CB0A10">
      <w:pPr>
        <w:spacing w:after="0" w:line="259" w:lineRule="auto"/>
        <w:rPr>
          <w:rFonts w:ascii="Arial" w:eastAsia="Arial" w:hAnsi="Arial"/>
          <w:sz w:val="24"/>
          <w:szCs w:val="24"/>
        </w:rPr>
      </w:pPr>
    </w:p>
    <w:p w14:paraId="0FB8D220" w14:textId="77777777" w:rsidR="00CB0A10" w:rsidRDefault="00CB0A10">
      <w:pPr>
        <w:spacing w:after="0" w:line="259" w:lineRule="auto"/>
        <w:rPr>
          <w:rFonts w:ascii="Arial" w:eastAsia="Arial" w:hAnsi="Arial"/>
          <w:sz w:val="24"/>
          <w:szCs w:val="24"/>
        </w:rPr>
      </w:pPr>
    </w:p>
    <w:p w14:paraId="4061CA00" w14:textId="77777777" w:rsidR="00CB0A10" w:rsidRDefault="00CB0A10">
      <w:pPr>
        <w:ind w:left="357"/>
        <w:rPr>
          <w:rFonts w:ascii="Arial" w:eastAsia="Arial" w:hAnsi="Arial"/>
          <w:sz w:val="24"/>
          <w:szCs w:val="24"/>
        </w:rPr>
      </w:pPr>
    </w:p>
    <w:p w14:paraId="028F3A92" w14:textId="77777777" w:rsidR="00CB0A10" w:rsidRDefault="00490BDE">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 xml:space="preserve">Part A: Staff Transfer at the Start Date </w:t>
      </w:r>
    </w:p>
    <w:p w14:paraId="4BC69AFA" w14:textId="77777777" w:rsidR="00CB0A10" w:rsidRDefault="00490BDE">
      <w:pPr>
        <w:pStyle w:val="Heading1"/>
        <w:keepNext/>
        <w:jc w:val="both"/>
        <w:rPr>
          <w:rFonts w:ascii="Arial" w:eastAsia="Arial" w:hAnsi="Arial" w:cs="Arial"/>
          <w:sz w:val="36"/>
          <w:szCs w:val="36"/>
        </w:rPr>
      </w:pPr>
      <w:r>
        <w:rPr>
          <w:rFonts w:ascii="Arial" w:eastAsia="Arial" w:hAnsi="Arial" w:cs="Arial"/>
          <w:sz w:val="36"/>
          <w:szCs w:val="36"/>
        </w:rPr>
        <w:t xml:space="preserve">Outsourcing from the Buyer </w:t>
      </w:r>
    </w:p>
    <w:p w14:paraId="1D343B8C" w14:textId="77777777" w:rsidR="00CB0A10" w:rsidRDefault="00490BDE">
      <w:pPr>
        <w:rPr>
          <w:rFonts w:ascii="Arial" w:eastAsia="Arial" w:hAnsi="Arial"/>
          <w:b/>
          <w:sz w:val="24"/>
          <w:szCs w:val="24"/>
        </w:rPr>
      </w:pPr>
      <w:r>
        <w:rPr>
          <w:rFonts w:ascii="Arial" w:eastAsia="Arial" w:hAnsi="Arial"/>
          <w:b/>
          <w:sz w:val="24"/>
          <w:szCs w:val="24"/>
        </w:rPr>
        <w:t>NOT USED</w:t>
      </w:r>
    </w:p>
    <w:p w14:paraId="77DD225A" w14:textId="77777777" w:rsidR="00CB0A10" w:rsidRDefault="00490BDE">
      <w:pPr>
        <w:rPr>
          <w:rFonts w:ascii="Arial" w:eastAsia="Arial" w:hAnsi="Arial"/>
          <w:b/>
          <w:sz w:val="24"/>
          <w:szCs w:val="24"/>
        </w:rPr>
      </w:pPr>
      <w:r>
        <w:br w:type="page"/>
      </w:r>
    </w:p>
    <w:p w14:paraId="797BD53F" w14:textId="77777777" w:rsidR="00CB0A10" w:rsidRDefault="00CB0A10">
      <w:pPr>
        <w:rPr>
          <w:rFonts w:ascii="Arial" w:eastAsia="Arial" w:hAnsi="Arial"/>
          <w:b/>
          <w:sz w:val="24"/>
          <w:szCs w:val="24"/>
        </w:rPr>
      </w:pPr>
    </w:p>
    <w:p w14:paraId="1EB0CA26" w14:textId="77777777" w:rsidR="00CB0A10" w:rsidRDefault="00490BDE">
      <w:pPr>
        <w:pStyle w:val="Heading1"/>
        <w:keepNext/>
        <w:jc w:val="both"/>
        <w:rPr>
          <w:rFonts w:ascii="Arial" w:eastAsia="Arial" w:hAnsi="Arial" w:cs="Arial"/>
          <w:sz w:val="36"/>
          <w:szCs w:val="36"/>
        </w:rPr>
      </w:pPr>
      <w:bookmarkStart w:id="1" w:name="_heading=h.30j0zll" w:colFirst="0" w:colLast="0"/>
      <w:bookmarkEnd w:id="1"/>
      <w:r>
        <w:rPr>
          <w:rFonts w:ascii="Arial" w:eastAsia="Arial" w:hAnsi="Arial" w:cs="Arial"/>
          <w:sz w:val="36"/>
          <w:szCs w:val="36"/>
        </w:rPr>
        <w:t xml:space="preserve">Part B: Staff transfer at the Start Date </w:t>
      </w:r>
    </w:p>
    <w:p w14:paraId="7F47DBCF" w14:textId="77777777" w:rsidR="00CB0A10" w:rsidRDefault="00490BDE">
      <w:pPr>
        <w:pStyle w:val="Heading1"/>
        <w:keepNext/>
        <w:jc w:val="both"/>
        <w:rPr>
          <w:rFonts w:ascii="Arial" w:eastAsia="Arial" w:hAnsi="Arial" w:cs="Arial"/>
          <w:sz w:val="36"/>
          <w:szCs w:val="36"/>
        </w:rPr>
      </w:pPr>
      <w:r>
        <w:rPr>
          <w:rFonts w:ascii="Arial" w:eastAsia="Arial" w:hAnsi="Arial" w:cs="Arial"/>
          <w:sz w:val="36"/>
          <w:szCs w:val="36"/>
        </w:rPr>
        <w:t xml:space="preserve">Transfer from a Former Supplier </w:t>
      </w:r>
    </w:p>
    <w:p w14:paraId="02C88366" w14:textId="77777777" w:rsidR="00CB0A10" w:rsidRDefault="00490BDE">
      <w:pPr>
        <w:rPr>
          <w:rFonts w:ascii="Arial" w:eastAsia="Arial" w:hAnsi="Arial"/>
          <w:b/>
          <w:sz w:val="24"/>
          <w:szCs w:val="24"/>
        </w:rPr>
      </w:pPr>
      <w:r>
        <w:rPr>
          <w:rFonts w:ascii="Arial" w:eastAsia="Arial" w:hAnsi="Arial"/>
          <w:b/>
          <w:sz w:val="24"/>
          <w:szCs w:val="24"/>
        </w:rPr>
        <w:t>NOT USED</w:t>
      </w:r>
    </w:p>
    <w:p w14:paraId="61658272" w14:textId="77777777" w:rsidR="00CB0A10" w:rsidRDefault="00CB0A10">
      <w:pPr>
        <w:rPr>
          <w:rFonts w:ascii="Arial" w:eastAsia="Arial" w:hAnsi="Arial"/>
          <w:sz w:val="24"/>
          <w:szCs w:val="24"/>
        </w:rPr>
      </w:pPr>
    </w:p>
    <w:p w14:paraId="0E4A3792" w14:textId="77777777" w:rsidR="00CB0A10" w:rsidRDefault="00490BDE">
      <w:pPr>
        <w:pStyle w:val="Heading1"/>
        <w:jc w:val="both"/>
        <w:rPr>
          <w:rFonts w:ascii="Arial" w:eastAsia="Arial" w:hAnsi="Arial" w:cs="Arial"/>
          <w:sz w:val="36"/>
          <w:szCs w:val="36"/>
        </w:rPr>
      </w:pPr>
      <w:r>
        <w:br w:type="page"/>
      </w:r>
      <w:r>
        <w:rPr>
          <w:rFonts w:ascii="Arial" w:eastAsia="Arial" w:hAnsi="Arial" w:cs="Arial"/>
          <w:sz w:val="36"/>
          <w:szCs w:val="36"/>
        </w:rPr>
        <w:lastRenderedPageBreak/>
        <w:t>Part C: No Staff Transfer on the Start Date</w:t>
      </w:r>
    </w:p>
    <w:p w14:paraId="50429296" w14:textId="77777777" w:rsidR="00CB0A10" w:rsidRDefault="00490BDE">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14:paraId="24FE6753" w14:textId="77777777" w:rsidR="00CB0A10" w:rsidRDefault="00490BDE">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49x2ik5" w:colFirst="0" w:colLast="0"/>
      <w:bookmarkEnd w:id="2"/>
      <w:r>
        <w:rPr>
          <w:rFonts w:ascii="Arial" w:eastAsia="Arial" w:hAnsi="Arial"/>
          <w:color w:val="000000"/>
          <w:sz w:val="24"/>
          <w:szCs w:val="24"/>
        </w:rPr>
        <w:t>The Buyer and the Supplier agree that the commencement of the provision of the Servi</w:t>
      </w:r>
      <w:r>
        <w:rPr>
          <w:rFonts w:ascii="Arial" w:eastAsia="Arial" w:hAnsi="Arial"/>
          <w:color w:val="000000"/>
          <w:sz w:val="24"/>
          <w:szCs w:val="24"/>
        </w:rPr>
        <w:t xml:space="preserve">ces or of any part of the Services will not be a Relevant Transfer in relation to any employees of the Buyer and/or any Former Supplier.  </w:t>
      </w:r>
    </w:p>
    <w:p w14:paraId="4ECEA508" w14:textId="77777777" w:rsidR="00CB0A10" w:rsidRDefault="00490BDE">
      <w:pPr>
        <w:keepNext/>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 w:name="_heading=h.2p2csry" w:colFirst="0" w:colLast="0"/>
      <w:bookmarkEnd w:id="3"/>
      <w:r>
        <w:rPr>
          <w:rFonts w:ascii="Arial" w:eastAsia="Arial" w:hAnsi="Arial"/>
          <w:color w:val="000000"/>
          <w:sz w:val="24"/>
          <w:szCs w:val="24"/>
        </w:rPr>
        <w:t xml:space="preserve">If any employee of the Buyer and/or a </w:t>
      </w:r>
      <w:proofErr w:type="gramStart"/>
      <w:r>
        <w:rPr>
          <w:rFonts w:ascii="Arial" w:eastAsia="Arial" w:hAnsi="Arial"/>
          <w:color w:val="000000"/>
          <w:sz w:val="24"/>
          <w:szCs w:val="24"/>
        </w:rPr>
        <w:t>Former Supplier claims</w:t>
      </w:r>
      <w:proofErr w:type="gramEnd"/>
      <w:r>
        <w:rPr>
          <w:rFonts w:ascii="Arial" w:eastAsia="Arial" w:hAnsi="Arial"/>
          <w:color w:val="000000"/>
          <w:sz w:val="24"/>
          <w:szCs w:val="24"/>
        </w:rPr>
        <w:t>, or it is determined in relation to any employee of the Buyer and/or a Former Supplier, that his/her contract of employment has been transferred from the Buyer and/or the Former Supplier to the S</w:t>
      </w:r>
      <w:r>
        <w:rPr>
          <w:rFonts w:ascii="Arial" w:eastAsia="Arial" w:hAnsi="Arial"/>
          <w:color w:val="000000"/>
          <w:sz w:val="24"/>
          <w:szCs w:val="24"/>
        </w:rPr>
        <w:t>upplier and/or any Subcontractor pursuant to the Employment Regulations or the Acquired Rights Directive then:</w:t>
      </w:r>
    </w:p>
    <w:p w14:paraId="689E017D"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bookmarkStart w:id="4" w:name="_heading=h.147n2zr" w:colFirst="0" w:colLast="0"/>
      <w:bookmarkEnd w:id="4"/>
      <w:r>
        <w:rPr>
          <w:rFonts w:ascii="Arial" w:eastAsia="Arial" w:hAnsi="Arial"/>
          <w:color w:val="000000"/>
          <w:sz w:val="24"/>
          <w:szCs w:val="24"/>
        </w:rPr>
        <w:t>the Supplier shall, and shall procure that the relevant Subcontractor shall, within 5 Working Days of becoming aware of that fact, notify the Buy</w:t>
      </w:r>
      <w:r>
        <w:rPr>
          <w:rFonts w:ascii="Arial" w:eastAsia="Arial" w:hAnsi="Arial"/>
          <w:color w:val="000000"/>
          <w:sz w:val="24"/>
          <w:szCs w:val="24"/>
        </w:rPr>
        <w:t>er in writing and, where required by the Buyer, notify the Former Supplier in writing; and</w:t>
      </w:r>
    </w:p>
    <w:p w14:paraId="10AC1398"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bookmarkStart w:id="5" w:name="_heading=h.3o7alnk" w:colFirst="0" w:colLast="0"/>
      <w:bookmarkEnd w:id="5"/>
      <w:r>
        <w:rPr>
          <w:rFonts w:ascii="Arial" w:eastAsia="Arial" w:hAnsi="Arial"/>
          <w:color w:val="000000"/>
          <w:sz w:val="24"/>
          <w:szCs w:val="24"/>
        </w:rPr>
        <w:t>the Buyer and/or the Former Supplier may offer (or may procure that a third party may offer) employment to such person within 15 Working Days of the notification fro</w:t>
      </w:r>
      <w:r>
        <w:rPr>
          <w:rFonts w:ascii="Arial" w:eastAsia="Arial" w:hAnsi="Arial"/>
          <w:color w:val="000000"/>
          <w:sz w:val="24"/>
          <w:szCs w:val="24"/>
        </w:rPr>
        <w:t>m the Supplier or the Subcontractor (as appropriate) or take such other reasonable steps as the Buyer or Former Supplier (as the case may be) it considers appropriate to deal with the matter provided always that such steps are in compliance with applicable</w:t>
      </w:r>
      <w:r>
        <w:rPr>
          <w:rFonts w:ascii="Arial" w:eastAsia="Arial" w:hAnsi="Arial"/>
          <w:color w:val="000000"/>
          <w:sz w:val="24"/>
          <w:szCs w:val="24"/>
        </w:rPr>
        <w:t xml:space="preserve"> Law.</w:t>
      </w:r>
    </w:p>
    <w:p w14:paraId="3478795F" w14:textId="77777777" w:rsidR="00CB0A10" w:rsidRDefault="00490BDE">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w:t>
      </w:r>
      <w:r>
        <w:rPr>
          <w:rFonts w:ascii="Arial" w:eastAsia="Arial" w:hAnsi="Arial"/>
          <w:color w:val="000000"/>
          <w:sz w:val="24"/>
          <w:szCs w:val="24"/>
        </w:rPr>
        <w:t>his/her employment or alleged employment.</w:t>
      </w:r>
    </w:p>
    <w:p w14:paraId="0CD51279" w14:textId="77777777" w:rsidR="00CB0A10" w:rsidRDefault="00490BDE">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23ckvvd" w:colFirst="0" w:colLast="0"/>
      <w:bookmarkEnd w:id="6"/>
      <w:r>
        <w:rPr>
          <w:rFonts w:ascii="Arial" w:eastAsia="Arial" w:hAnsi="Arial"/>
          <w:color w:val="000000"/>
          <w:sz w:val="24"/>
          <w:szCs w:val="24"/>
        </w:rPr>
        <w:t xml:space="preserve">If by the end of the 15 Working Day period referred to in Paragraph 1.2.2: </w:t>
      </w:r>
    </w:p>
    <w:p w14:paraId="65326114"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58C33426"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53B4879F"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4FC3B53A" w14:textId="77777777" w:rsidR="00CB0A10" w:rsidRDefault="00490BDE">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220C6370" w14:textId="77777777" w:rsidR="00CB0A10" w:rsidRDefault="00CB0A10">
      <w:pPr>
        <w:pBdr>
          <w:top w:val="nil"/>
          <w:left w:val="nil"/>
          <w:bottom w:val="nil"/>
          <w:right w:val="nil"/>
          <w:between w:val="nil"/>
        </w:pBdr>
        <w:spacing w:before="120" w:after="120"/>
        <w:ind w:left="1134" w:hanging="1080"/>
        <w:rPr>
          <w:rFonts w:ascii="Arial" w:eastAsia="Arial" w:hAnsi="Arial"/>
          <w:color w:val="000000"/>
          <w:sz w:val="24"/>
          <w:szCs w:val="24"/>
        </w:rPr>
      </w:pPr>
    </w:p>
    <w:p w14:paraId="504F92B5" w14:textId="77777777" w:rsidR="00CB0A10" w:rsidRDefault="00490BDE">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w:t>
      </w:r>
      <w:r>
        <w:rPr>
          <w:rFonts w:ascii="Arial" w:eastAsia="Arial" w:hAnsi="Arial"/>
          <w:color w:val="000000"/>
          <w:sz w:val="24"/>
          <w:szCs w:val="24"/>
        </w:rPr>
        <w:t>hall:</w:t>
      </w:r>
    </w:p>
    <w:p w14:paraId="17BC0D7C"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p</w:t>
      </w:r>
      <w:r>
        <w:rPr>
          <w:rFonts w:ascii="Arial" w:eastAsia="Arial" w:hAnsi="Arial"/>
          <w:color w:val="000000"/>
          <w:sz w:val="24"/>
          <w:szCs w:val="24"/>
        </w:rPr>
        <w:t xml:space="preserve">rovided that the Supplier takes, or shall procure that the Subcontractor takes, all reasonable steps to minimise any such Employee Liabilities; and </w:t>
      </w:r>
    </w:p>
    <w:p w14:paraId="245E1ED2"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w:t>
      </w:r>
      <w:r>
        <w:rPr>
          <w:rFonts w:ascii="Arial" w:eastAsia="Arial" w:hAnsi="Arial"/>
          <w:color w:val="000000"/>
          <w:sz w:val="24"/>
          <w:szCs w:val="24"/>
        </w:rPr>
        <w:t>bilities arising out of termination of the employment of the employees of the Former Supplier referred to in Paragraph 1.2 made pursuant to the provisions of Paragraph 1.4 provided that the Supplier takes, or shall procure that the relevant Subcontractor t</w:t>
      </w:r>
      <w:r>
        <w:rPr>
          <w:rFonts w:ascii="Arial" w:eastAsia="Arial" w:hAnsi="Arial"/>
          <w:color w:val="000000"/>
          <w:sz w:val="24"/>
          <w:szCs w:val="24"/>
        </w:rPr>
        <w:t>akes, all reasonable steps to minimise any such Employee Liabilities.</w:t>
      </w:r>
    </w:p>
    <w:p w14:paraId="49D130C9" w14:textId="77777777" w:rsidR="00CB0A10" w:rsidRDefault="00490BDE">
      <w:pPr>
        <w:keepNext/>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ihv636" w:colFirst="0" w:colLast="0"/>
      <w:bookmarkEnd w:id="7"/>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14:paraId="79496855" w14:textId="77777777" w:rsidR="00CB0A10" w:rsidRDefault="00490BDE">
      <w:pPr>
        <w:keepNext/>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14:paraId="10347281" w14:textId="77777777" w:rsidR="00CB0A10" w:rsidRDefault="00CB0A10">
      <w:pPr>
        <w:keepNext/>
        <w:pBdr>
          <w:top w:val="nil"/>
          <w:left w:val="nil"/>
          <w:bottom w:val="nil"/>
          <w:right w:val="nil"/>
          <w:between w:val="nil"/>
        </w:pBdr>
        <w:tabs>
          <w:tab w:val="left" w:pos="993"/>
        </w:tabs>
        <w:spacing w:before="120" w:after="120"/>
        <w:ind w:left="720" w:hanging="720"/>
        <w:rPr>
          <w:color w:val="000000"/>
        </w:rPr>
      </w:pPr>
    </w:p>
    <w:p w14:paraId="47196873" w14:textId="77777777" w:rsidR="00CB0A10" w:rsidRDefault="00490BDE">
      <w:pPr>
        <w:keepNext/>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32hioqz" w:colFirst="0" w:colLast="0"/>
      <w:bookmarkEnd w:id="8"/>
      <w:r>
        <w:rPr>
          <w:rFonts w:ascii="Arial" w:eastAsia="Arial" w:hAnsi="Arial"/>
          <w:color w:val="000000"/>
          <w:sz w:val="24"/>
          <w:szCs w:val="24"/>
        </w:rPr>
        <w:t>The ind</w:t>
      </w:r>
      <w:r>
        <w:rPr>
          <w:rFonts w:ascii="Arial" w:eastAsia="Arial" w:hAnsi="Arial"/>
          <w:color w:val="000000"/>
          <w:sz w:val="24"/>
          <w:szCs w:val="24"/>
        </w:rPr>
        <w:t xml:space="preserve">emnities in Paragraph 1.5: </w:t>
      </w:r>
    </w:p>
    <w:p w14:paraId="34C8D659"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7D3F49E" w14:textId="77777777" w:rsidR="00CB0A10" w:rsidRDefault="00490BDE">
      <w:pPr>
        <w:numPr>
          <w:ilvl w:val="3"/>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395C1489" w14:textId="77777777" w:rsidR="00CB0A10" w:rsidRDefault="00490BD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C8C9C05" w14:textId="77777777" w:rsidR="00CB0A10" w:rsidRDefault="00490BD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14:paraId="594A33E5" w14:textId="77777777" w:rsidR="00CB0A10" w:rsidRDefault="00490BDE">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0EB5CE5B" w14:textId="77777777" w:rsidR="00CB0A10" w:rsidRDefault="00490BDE">
      <w:pPr>
        <w:numPr>
          <w:ilvl w:val="3"/>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14:paraId="6FBA3DB1" w14:textId="77777777" w:rsidR="00CB0A10" w:rsidRDefault="00490BDE">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56DD97D3" w14:textId="77777777" w:rsidR="00CB0A10" w:rsidRDefault="00490BDE">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1hmsyys" w:colFirst="0" w:colLast="0"/>
      <w:bookmarkEnd w:id="9"/>
      <w:r>
        <w:rPr>
          <w:rFonts w:ascii="Arial" w:eastAsia="Arial" w:hAnsi="Arial"/>
          <w:color w:val="000000"/>
          <w:sz w:val="24"/>
          <w:szCs w:val="24"/>
        </w:rPr>
        <w:t xml:space="preserve">If the Supplier and/or the Subcontractor does not </w:t>
      </w:r>
      <w:r>
        <w:rPr>
          <w:rFonts w:ascii="Arial" w:eastAsia="Arial" w:hAnsi="Arial"/>
          <w:color w:val="000000"/>
          <w:sz w:val="24"/>
          <w:szCs w:val="24"/>
        </w:rPr>
        <w:t>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w:t>
      </w:r>
      <w:r>
        <w:rPr>
          <w:rFonts w:ascii="Arial" w:eastAsia="Arial" w:hAnsi="Arial"/>
          <w:color w:val="000000"/>
          <w:sz w:val="24"/>
          <w:szCs w:val="24"/>
        </w:rPr>
        <w:t>er and any Former Supplier against any Employee Liabilities that either of them may incur in respect of any such employees of the Supplier and/or employees of the Subcontractor.</w:t>
      </w:r>
    </w:p>
    <w:p w14:paraId="0E16627B" w14:textId="77777777" w:rsidR="00CB0A10" w:rsidRDefault="00490BDE">
      <w:pPr>
        <w:keepNext/>
        <w:numPr>
          <w:ilvl w:val="0"/>
          <w:numId w:val="5"/>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Supplier’s obligations</w:t>
      </w:r>
    </w:p>
    <w:p w14:paraId="0BCCC095" w14:textId="77777777" w:rsidR="00CB0A10" w:rsidRDefault="00490BDE">
      <w:pPr>
        <w:ind w:left="357"/>
        <w:rPr>
          <w:rFonts w:ascii="Arial" w:eastAsia="Arial" w:hAnsi="Arial"/>
          <w:sz w:val="24"/>
          <w:szCs w:val="24"/>
        </w:rPr>
      </w:pPr>
      <w:r>
        <w:rPr>
          <w:rFonts w:ascii="Arial" w:eastAsia="Arial" w:hAnsi="Arial"/>
          <w:sz w:val="24"/>
          <w:szCs w:val="24"/>
        </w:rPr>
        <w:t>Where in this Part C the Buyer acc</w:t>
      </w:r>
      <w:r>
        <w:rPr>
          <w:rFonts w:ascii="Arial" w:eastAsia="Arial" w:hAnsi="Arial"/>
          <w:sz w:val="24"/>
          <w:szCs w:val="24"/>
        </w:rPr>
        <w:t xml:space="preserve">epts an obligation to procure that a Former Supplier does or does not do something, such obligation shall be limited so that it extends only to the extent that the Buyer's contract with the Former Supplier contains a contractual right in that regard which </w:t>
      </w:r>
      <w:r>
        <w:rPr>
          <w:rFonts w:ascii="Arial" w:eastAsia="Arial" w:hAnsi="Arial"/>
          <w:sz w:val="24"/>
          <w:szCs w:val="24"/>
        </w:rPr>
        <w:t>the Buyer may enforce, or otherwise so that it requires only that the Buyer must use reasonable endeavours to procure that the Former Supplier does or does not act accordingly.</w:t>
      </w:r>
    </w:p>
    <w:p w14:paraId="4904DAF0" w14:textId="77777777" w:rsidR="00CB0A10" w:rsidRDefault="00490BDE">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 xml:space="preserve">Part D: Pensions – </w:t>
      </w:r>
    </w:p>
    <w:p w14:paraId="5A4FF59D" w14:textId="77777777" w:rsidR="00CB0A10" w:rsidRDefault="00490BDE">
      <w:pPr>
        <w:rPr>
          <w:rFonts w:ascii="Arial" w:eastAsia="Arial" w:hAnsi="Arial"/>
          <w:b/>
        </w:rPr>
      </w:pPr>
      <w:r>
        <w:rPr>
          <w:b/>
        </w:rPr>
        <w:t xml:space="preserve">    NOTE:  This Part D applies only to the extent it suppo</w:t>
      </w:r>
      <w:r>
        <w:rPr>
          <w:b/>
        </w:rPr>
        <w:t xml:space="preserve">rts Part E and is included here in its entirety for that purpose only.  </w:t>
      </w:r>
    </w:p>
    <w:p w14:paraId="488E6C5D" w14:textId="77777777" w:rsidR="00CB0A10" w:rsidRDefault="00490BDE">
      <w:pPr>
        <w:keepNext/>
        <w:numPr>
          <w:ilvl w:val="0"/>
          <w:numId w:val="1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14:paraId="1AE00DF2" w14:textId="77777777" w:rsidR="00CB0A10" w:rsidRDefault="00490BDE">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f1"/>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CB0A10" w14:paraId="71E91E3B" w14:textId="77777777">
        <w:tc>
          <w:tcPr>
            <w:tcW w:w="3404" w:type="dxa"/>
            <w:shd w:val="clear" w:color="auto" w:fill="auto"/>
          </w:tcPr>
          <w:p w14:paraId="2083AE72" w14:textId="77777777" w:rsidR="00CB0A10" w:rsidRDefault="00490BDE">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76C8015C" w14:textId="77777777" w:rsidR="00CB0A10" w:rsidRDefault="00490BDE">
            <w:pPr>
              <w:tabs>
                <w:tab w:val="left" w:pos="235"/>
              </w:tabs>
              <w:spacing w:before="120" w:after="120"/>
              <w:rPr>
                <w:rFonts w:ascii="Arial" w:eastAsia="Arial" w:hAnsi="Arial"/>
                <w:sz w:val="24"/>
                <w:szCs w:val="24"/>
              </w:rPr>
            </w:pPr>
            <w:r>
              <w:rPr>
                <w:rFonts w:ascii="Arial" w:eastAsia="Arial" w:hAnsi="Arial"/>
                <w:sz w:val="24"/>
                <w:szCs w:val="24"/>
              </w:rPr>
              <w:t>a Fellow of the Institute a</w:t>
            </w:r>
            <w:r>
              <w:rPr>
                <w:rFonts w:ascii="Arial" w:eastAsia="Arial" w:hAnsi="Arial"/>
                <w:sz w:val="24"/>
                <w:szCs w:val="24"/>
              </w:rPr>
              <w:t>nd Faculty of Actuaries;</w:t>
            </w:r>
          </w:p>
        </w:tc>
      </w:tr>
      <w:tr w:rsidR="00CB0A10" w14:paraId="08AE2FC8" w14:textId="77777777">
        <w:tc>
          <w:tcPr>
            <w:tcW w:w="3404" w:type="dxa"/>
            <w:shd w:val="clear" w:color="auto" w:fill="auto"/>
          </w:tcPr>
          <w:p w14:paraId="1739A85C" w14:textId="77777777" w:rsidR="00CB0A10" w:rsidRDefault="00490BDE">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19FC8CB1" w14:textId="77777777" w:rsidR="00CB0A10" w:rsidRDefault="00490BDE">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CB0A10" w14:paraId="019B1435" w14:textId="77777777">
        <w:tc>
          <w:tcPr>
            <w:tcW w:w="3404" w:type="dxa"/>
            <w:shd w:val="clear" w:color="auto" w:fill="auto"/>
          </w:tcPr>
          <w:p w14:paraId="1D6BB817" w14:textId="77777777" w:rsidR="00CB0A10" w:rsidRDefault="00490BDE">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4882192E" w14:textId="77777777" w:rsidR="00CB0A10" w:rsidRDefault="00490BDE">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420CD6D9" w14:textId="77777777" w:rsidR="00CB0A10" w:rsidRDefault="00CB0A10">
            <w:pPr>
              <w:tabs>
                <w:tab w:val="left" w:pos="235"/>
              </w:tabs>
              <w:spacing w:before="120" w:after="120"/>
              <w:rPr>
                <w:rFonts w:ascii="Arial" w:eastAsia="Arial" w:hAnsi="Arial"/>
                <w:sz w:val="24"/>
                <w:szCs w:val="24"/>
              </w:rPr>
            </w:pPr>
          </w:p>
        </w:tc>
      </w:tr>
      <w:tr w:rsidR="00CB0A10" w14:paraId="49AFCF83" w14:textId="77777777">
        <w:tc>
          <w:tcPr>
            <w:tcW w:w="3404" w:type="dxa"/>
            <w:shd w:val="clear" w:color="auto" w:fill="auto"/>
          </w:tcPr>
          <w:p w14:paraId="3562F2C5"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30084E47" w14:textId="77777777" w:rsidR="00CB0A10" w:rsidRDefault="00490BDE">
            <w:pPr>
              <w:widowControl w:val="0"/>
              <w:numPr>
                <w:ilvl w:val="0"/>
                <w:numId w:val="6"/>
              </w:numPr>
              <w:tabs>
                <w:tab w:val="left" w:pos="695"/>
              </w:tabs>
              <w:spacing w:before="120" w:after="120"/>
              <w:ind w:left="691" w:hanging="648"/>
              <w:rPr>
                <w:rFonts w:ascii="Arial" w:eastAsia="Arial" w:hAnsi="Arial"/>
                <w:sz w:val="24"/>
                <w:szCs w:val="24"/>
              </w:rPr>
            </w:pPr>
            <w:r>
              <w:rPr>
                <w:rFonts w:ascii="Arial" w:eastAsia="Arial" w:hAnsi="Arial"/>
                <w:sz w:val="24"/>
                <w:szCs w:val="24"/>
              </w:rPr>
              <w:t xml:space="preserve">in respect of a pension scheme, a status satisfying the </w:t>
            </w:r>
            <w:r>
              <w:rPr>
                <w:rFonts w:ascii="Arial" w:eastAsia="Arial" w:hAnsi="Arial"/>
                <w:sz w:val="24"/>
                <w:szCs w:val="24"/>
              </w:rPr>
              <w:t>condition that there are no identifiable employees who will suffer material detriment overall in terms of future accrual of pension benefits as assessed in accordance with Annex A of New Fair Deal and demonstrated by the issue by the Government Actuary’s D</w:t>
            </w:r>
            <w:r>
              <w:rPr>
                <w:rFonts w:ascii="Arial" w:eastAsia="Arial" w:hAnsi="Arial"/>
                <w:sz w:val="24"/>
                <w:szCs w:val="24"/>
              </w:rPr>
              <w:t>epartment of a broad comparability certificate; and/or</w:t>
            </w:r>
          </w:p>
        </w:tc>
      </w:tr>
      <w:tr w:rsidR="00CB0A10" w14:paraId="0FBDBE68" w14:textId="77777777">
        <w:tc>
          <w:tcPr>
            <w:tcW w:w="3404" w:type="dxa"/>
            <w:shd w:val="clear" w:color="auto" w:fill="auto"/>
          </w:tcPr>
          <w:p w14:paraId="78B8A6A2" w14:textId="77777777" w:rsidR="00CB0A10" w:rsidRDefault="00CB0A10">
            <w:pPr>
              <w:widowControl w:val="0"/>
              <w:spacing w:before="120" w:after="120"/>
              <w:ind w:left="720" w:firstLine="0"/>
              <w:rPr>
                <w:rFonts w:ascii="Arial" w:eastAsia="Arial" w:hAnsi="Arial"/>
                <w:b/>
                <w:sz w:val="24"/>
                <w:szCs w:val="24"/>
              </w:rPr>
            </w:pPr>
          </w:p>
        </w:tc>
        <w:tc>
          <w:tcPr>
            <w:tcW w:w="5622" w:type="dxa"/>
            <w:shd w:val="clear" w:color="auto" w:fill="auto"/>
          </w:tcPr>
          <w:p w14:paraId="5EDD9115" w14:textId="77777777" w:rsidR="00CB0A10" w:rsidRDefault="00490BDE">
            <w:pPr>
              <w:widowControl w:val="0"/>
              <w:numPr>
                <w:ilvl w:val="0"/>
                <w:numId w:val="6"/>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513B2C2" w14:textId="77777777" w:rsidR="00CB0A10" w:rsidRDefault="00490BDE">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CB0A10" w14:paraId="341BE398" w14:textId="77777777">
        <w:tc>
          <w:tcPr>
            <w:tcW w:w="3404" w:type="dxa"/>
            <w:shd w:val="clear" w:color="auto" w:fill="auto"/>
          </w:tcPr>
          <w:p w14:paraId="7D3E4E0E"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5A456AB7" w14:textId="77777777" w:rsidR="00CB0A10" w:rsidRDefault="00490BDE">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CB0A10" w14:paraId="288E11F6" w14:textId="77777777">
        <w:tc>
          <w:tcPr>
            <w:tcW w:w="3404" w:type="dxa"/>
            <w:shd w:val="clear" w:color="auto" w:fill="auto"/>
          </w:tcPr>
          <w:p w14:paraId="2CF71463"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1DD5EF76" w14:textId="77777777" w:rsidR="00CB0A10" w:rsidRDefault="00490BDE">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33503F03" w14:textId="77777777" w:rsidR="00CB0A10" w:rsidRDefault="00CB0A10">
            <w:pPr>
              <w:widowControl w:val="0"/>
              <w:spacing w:before="120" w:after="120"/>
              <w:rPr>
                <w:rFonts w:ascii="Arial" w:eastAsia="Arial" w:hAnsi="Arial"/>
                <w:sz w:val="24"/>
                <w:szCs w:val="24"/>
              </w:rPr>
            </w:pPr>
          </w:p>
        </w:tc>
      </w:tr>
      <w:tr w:rsidR="00CB0A10" w14:paraId="5B248E46" w14:textId="77777777">
        <w:tc>
          <w:tcPr>
            <w:tcW w:w="3404" w:type="dxa"/>
            <w:shd w:val="clear" w:color="auto" w:fill="auto"/>
          </w:tcPr>
          <w:p w14:paraId="6D53C2DC"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 xml:space="preserve">“Fair Deal Eligible Employees” </w:t>
            </w:r>
          </w:p>
        </w:tc>
        <w:tc>
          <w:tcPr>
            <w:tcW w:w="5622" w:type="dxa"/>
            <w:shd w:val="clear" w:color="auto" w:fill="auto"/>
          </w:tcPr>
          <w:p w14:paraId="4167707A" w14:textId="77777777" w:rsidR="00CB0A10" w:rsidRDefault="00490BDE">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14:paraId="3852CA38" w14:textId="77777777" w:rsidR="00CB0A10" w:rsidRDefault="00CB0A10">
            <w:pPr>
              <w:widowControl w:val="0"/>
              <w:spacing w:before="120" w:after="120"/>
              <w:rPr>
                <w:rFonts w:ascii="Arial" w:eastAsia="Arial" w:hAnsi="Arial"/>
                <w:sz w:val="24"/>
                <w:szCs w:val="24"/>
              </w:rPr>
            </w:pPr>
          </w:p>
        </w:tc>
      </w:tr>
      <w:tr w:rsidR="00CB0A10" w14:paraId="1AE4ECE2" w14:textId="77777777">
        <w:tc>
          <w:tcPr>
            <w:tcW w:w="3404" w:type="dxa"/>
            <w:shd w:val="clear" w:color="auto" w:fill="auto"/>
          </w:tcPr>
          <w:p w14:paraId="2472FBA8"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6A2D28E8" w14:textId="77777777" w:rsidR="00CB0A10" w:rsidRDefault="00490BDE">
            <w:pPr>
              <w:widowControl w:val="0"/>
              <w:spacing w:before="120" w:after="120"/>
              <w:rPr>
                <w:rFonts w:ascii="Arial" w:eastAsia="Arial" w:hAnsi="Arial"/>
                <w:sz w:val="24"/>
                <w:szCs w:val="24"/>
              </w:rPr>
            </w:pPr>
            <w:r>
              <w:rPr>
                <w:rFonts w:ascii="Arial" w:eastAsia="Arial" w:hAnsi="Arial"/>
                <w:sz w:val="24"/>
                <w:szCs w:val="24"/>
              </w:rPr>
              <w:t>any of:</w:t>
            </w:r>
          </w:p>
          <w:p w14:paraId="6187340E" w14:textId="77777777" w:rsidR="00CB0A10" w:rsidRDefault="00490BDE">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CB0A10" w14:paraId="2C3D61A4" w14:textId="77777777">
        <w:tc>
          <w:tcPr>
            <w:tcW w:w="3404" w:type="dxa"/>
            <w:shd w:val="clear" w:color="auto" w:fill="auto"/>
          </w:tcPr>
          <w:p w14:paraId="5B604DE0" w14:textId="77777777" w:rsidR="00CB0A10" w:rsidRDefault="00CB0A10">
            <w:pPr>
              <w:widowControl w:val="0"/>
              <w:spacing w:before="120" w:after="120"/>
              <w:ind w:left="720" w:firstLine="0"/>
              <w:rPr>
                <w:rFonts w:ascii="Arial" w:eastAsia="Arial" w:hAnsi="Arial"/>
                <w:b/>
                <w:sz w:val="24"/>
                <w:szCs w:val="24"/>
              </w:rPr>
            </w:pPr>
          </w:p>
        </w:tc>
        <w:tc>
          <w:tcPr>
            <w:tcW w:w="5622" w:type="dxa"/>
            <w:shd w:val="clear" w:color="auto" w:fill="auto"/>
          </w:tcPr>
          <w:p w14:paraId="189877EC" w14:textId="77777777" w:rsidR="00CB0A10" w:rsidRDefault="00490BDE">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CB0A10" w14:paraId="1EAD82A6" w14:textId="77777777">
        <w:tc>
          <w:tcPr>
            <w:tcW w:w="3404" w:type="dxa"/>
            <w:shd w:val="clear" w:color="auto" w:fill="auto"/>
          </w:tcPr>
          <w:p w14:paraId="49D7A04D" w14:textId="77777777" w:rsidR="00CB0A10" w:rsidRDefault="00CB0A10">
            <w:pPr>
              <w:widowControl w:val="0"/>
              <w:spacing w:before="120" w:after="120"/>
              <w:ind w:left="720" w:firstLine="0"/>
              <w:rPr>
                <w:rFonts w:ascii="Arial" w:eastAsia="Arial" w:hAnsi="Arial"/>
                <w:b/>
                <w:sz w:val="24"/>
                <w:szCs w:val="24"/>
              </w:rPr>
            </w:pPr>
          </w:p>
        </w:tc>
        <w:tc>
          <w:tcPr>
            <w:tcW w:w="5622" w:type="dxa"/>
            <w:shd w:val="clear" w:color="auto" w:fill="auto"/>
          </w:tcPr>
          <w:p w14:paraId="702D8E00" w14:textId="77777777" w:rsidR="00CB0A10" w:rsidRDefault="00490BDE">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CB0A10" w14:paraId="4984D97A" w14:textId="77777777">
        <w:tc>
          <w:tcPr>
            <w:tcW w:w="3404" w:type="dxa"/>
            <w:shd w:val="clear" w:color="auto" w:fill="auto"/>
          </w:tcPr>
          <w:p w14:paraId="0179DC78" w14:textId="77777777" w:rsidR="00CB0A10" w:rsidRDefault="00CB0A10">
            <w:pPr>
              <w:keepNext/>
              <w:widowControl w:val="0"/>
              <w:spacing w:before="120" w:after="120"/>
              <w:ind w:left="720" w:firstLine="0"/>
              <w:rPr>
                <w:rFonts w:ascii="Arial" w:eastAsia="Arial" w:hAnsi="Arial"/>
                <w:b/>
                <w:sz w:val="24"/>
                <w:szCs w:val="24"/>
              </w:rPr>
            </w:pPr>
          </w:p>
        </w:tc>
        <w:tc>
          <w:tcPr>
            <w:tcW w:w="5622" w:type="dxa"/>
            <w:shd w:val="clear" w:color="auto" w:fill="auto"/>
          </w:tcPr>
          <w:p w14:paraId="3B0BA9FB" w14:textId="77777777" w:rsidR="00CB0A10" w:rsidRDefault="00490BDE">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CB0A10" w14:paraId="2A8EDA19" w14:textId="77777777">
        <w:tc>
          <w:tcPr>
            <w:tcW w:w="3404" w:type="dxa"/>
            <w:shd w:val="clear" w:color="auto" w:fill="auto"/>
          </w:tcPr>
          <w:p w14:paraId="0897F3B7" w14:textId="77777777" w:rsidR="00CB0A10" w:rsidRDefault="00CB0A10">
            <w:pPr>
              <w:widowControl w:val="0"/>
              <w:spacing w:before="120" w:after="120"/>
              <w:ind w:left="720" w:firstLine="0"/>
              <w:rPr>
                <w:rFonts w:ascii="Arial" w:eastAsia="Arial" w:hAnsi="Arial"/>
                <w:b/>
                <w:sz w:val="24"/>
                <w:szCs w:val="24"/>
              </w:rPr>
            </w:pPr>
          </w:p>
        </w:tc>
        <w:tc>
          <w:tcPr>
            <w:tcW w:w="5622" w:type="dxa"/>
            <w:shd w:val="clear" w:color="auto" w:fill="auto"/>
          </w:tcPr>
          <w:p w14:paraId="486D7784" w14:textId="77777777" w:rsidR="00CB0A10" w:rsidRDefault="00490BDE">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CB0A10" w14:paraId="500BDC44" w14:textId="77777777">
        <w:tc>
          <w:tcPr>
            <w:tcW w:w="3404" w:type="dxa"/>
            <w:shd w:val="clear" w:color="auto" w:fill="auto"/>
          </w:tcPr>
          <w:p w14:paraId="4551AE13" w14:textId="77777777" w:rsidR="00CB0A10" w:rsidRDefault="00CB0A10">
            <w:pPr>
              <w:widowControl w:val="0"/>
              <w:spacing w:before="120" w:after="120"/>
              <w:ind w:left="720" w:firstLine="0"/>
              <w:rPr>
                <w:rFonts w:ascii="Arial" w:eastAsia="Arial" w:hAnsi="Arial"/>
                <w:b/>
                <w:sz w:val="24"/>
                <w:szCs w:val="24"/>
              </w:rPr>
            </w:pPr>
          </w:p>
        </w:tc>
        <w:tc>
          <w:tcPr>
            <w:tcW w:w="5622" w:type="dxa"/>
            <w:shd w:val="clear" w:color="auto" w:fill="auto"/>
          </w:tcPr>
          <w:p w14:paraId="698FE332" w14:textId="77777777" w:rsidR="00CB0A10" w:rsidRDefault="00CB0A10">
            <w:pPr>
              <w:widowControl w:val="0"/>
              <w:spacing w:before="120" w:after="120"/>
              <w:rPr>
                <w:rFonts w:ascii="Arial" w:eastAsia="Arial" w:hAnsi="Arial"/>
                <w:sz w:val="24"/>
                <w:szCs w:val="24"/>
              </w:rPr>
            </w:pPr>
          </w:p>
        </w:tc>
      </w:tr>
      <w:tr w:rsidR="00CB0A10" w14:paraId="11B782AA" w14:textId="77777777">
        <w:tc>
          <w:tcPr>
            <w:tcW w:w="3404" w:type="dxa"/>
            <w:shd w:val="clear" w:color="auto" w:fill="auto"/>
          </w:tcPr>
          <w:p w14:paraId="720DF424"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1C5C084F" w14:textId="77777777" w:rsidR="00CB0A10" w:rsidRDefault="00490BDE">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CB0A10" w14:paraId="0CA18B17" w14:textId="77777777">
        <w:tc>
          <w:tcPr>
            <w:tcW w:w="3404" w:type="dxa"/>
            <w:shd w:val="clear" w:color="auto" w:fill="auto"/>
          </w:tcPr>
          <w:p w14:paraId="481C5D91"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033E6B28" w14:textId="77777777" w:rsidR="00CB0A10" w:rsidRDefault="00490BDE">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CB0A10" w14:paraId="6A29FCF1" w14:textId="77777777">
        <w:tc>
          <w:tcPr>
            <w:tcW w:w="3404" w:type="dxa"/>
            <w:shd w:val="clear" w:color="auto" w:fill="auto"/>
          </w:tcPr>
          <w:p w14:paraId="2C61B59E"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3B814B13" w14:textId="77777777" w:rsidR="00CB0A10" w:rsidRDefault="00490BDE">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CB0A10" w14:paraId="39A96F92" w14:textId="77777777">
        <w:tc>
          <w:tcPr>
            <w:tcW w:w="3404" w:type="dxa"/>
            <w:shd w:val="clear" w:color="auto" w:fill="auto"/>
          </w:tcPr>
          <w:p w14:paraId="67D99465" w14:textId="77777777" w:rsidR="00CB0A10" w:rsidRDefault="00CB0A10">
            <w:pPr>
              <w:widowControl w:val="0"/>
              <w:spacing w:before="120" w:after="120"/>
              <w:ind w:left="720" w:firstLine="0"/>
              <w:rPr>
                <w:rFonts w:ascii="Arial" w:eastAsia="Arial" w:hAnsi="Arial"/>
                <w:b/>
                <w:sz w:val="24"/>
                <w:szCs w:val="24"/>
              </w:rPr>
            </w:pPr>
          </w:p>
        </w:tc>
        <w:tc>
          <w:tcPr>
            <w:tcW w:w="5622" w:type="dxa"/>
            <w:shd w:val="clear" w:color="auto" w:fill="auto"/>
          </w:tcPr>
          <w:p w14:paraId="211EE7A5" w14:textId="77777777" w:rsidR="00CB0A10" w:rsidRDefault="00CB0A10">
            <w:pPr>
              <w:widowControl w:val="0"/>
              <w:numPr>
                <w:ilvl w:val="0"/>
                <w:numId w:val="11"/>
              </w:numPr>
              <w:tabs>
                <w:tab w:val="left" w:pos="695"/>
              </w:tabs>
              <w:spacing w:before="120" w:after="120"/>
              <w:ind w:left="743" w:hanging="709"/>
              <w:rPr>
                <w:rFonts w:ascii="Arial" w:eastAsia="Arial" w:hAnsi="Arial"/>
                <w:sz w:val="24"/>
                <w:szCs w:val="24"/>
              </w:rPr>
            </w:pPr>
          </w:p>
        </w:tc>
      </w:tr>
      <w:tr w:rsidR="00CB0A10" w14:paraId="22DD5C59" w14:textId="77777777">
        <w:tc>
          <w:tcPr>
            <w:tcW w:w="3404" w:type="dxa"/>
            <w:shd w:val="clear" w:color="auto" w:fill="auto"/>
          </w:tcPr>
          <w:p w14:paraId="342A0A95" w14:textId="77777777" w:rsidR="00CB0A10" w:rsidRDefault="00CB0A10">
            <w:pPr>
              <w:widowControl w:val="0"/>
              <w:spacing w:before="120" w:after="120"/>
              <w:ind w:left="720" w:firstLine="0"/>
              <w:rPr>
                <w:rFonts w:ascii="Arial" w:eastAsia="Arial" w:hAnsi="Arial"/>
                <w:b/>
                <w:sz w:val="24"/>
                <w:szCs w:val="24"/>
              </w:rPr>
            </w:pPr>
          </w:p>
        </w:tc>
        <w:tc>
          <w:tcPr>
            <w:tcW w:w="5622" w:type="dxa"/>
            <w:shd w:val="clear" w:color="auto" w:fill="auto"/>
          </w:tcPr>
          <w:p w14:paraId="4BE4C81A" w14:textId="77777777" w:rsidR="00CB0A10" w:rsidRDefault="00CB0A10">
            <w:pPr>
              <w:widowControl w:val="0"/>
              <w:numPr>
                <w:ilvl w:val="0"/>
                <w:numId w:val="11"/>
              </w:numPr>
              <w:tabs>
                <w:tab w:val="left" w:pos="695"/>
              </w:tabs>
              <w:spacing w:before="120" w:after="120"/>
              <w:ind w:left="695" w:hanging="646"/>
              <w:rPr>
                <w:rFonts w:ascii="Arial" w:eastAsia="Arial" w:hAnsi="Arial"/>
                <w:sz w:val="24"/>
                <w:szCs w:val="24"/>
              </w:rPr>
            </w:pPr>
          </w:p>
        </w:tc>
      </w:tr>
      <w:tr w:rsidR="00CB0A10" w14:paraId="28D68A6C" w14:textId="77777777">
        <w:tc>
          <w:tcPr>
            <w:tcW w:w="3404" w:type="dxa"/>
            <w:shd w:val="clear" w:color="auto" w:fill="auto"/>
          </w:tcPr>
          <w:p w14:paraId="212C8013" w14:textId="77777777" w:rsidR="00CB0A10" w:rsidRDefault="00490BDE">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"Statutory Schemes"</w:t>
            </w:r>
          </w:p>
        </w:tc>
        <w:tc>
          <w:tcPr>
            <w:tcW w:w="5622" w:type="dxa"/>
            <w:shd w:val="clear" w:color="auto" w:fill="auto"/>
          </w:tcPr>
          <w:p w14:paraId="433A2627" w14:textId="77777777" w:rsidR="00CB0A10" w:rsidRDefault="00490BDE">
            <w:pPr>
              <w:spacing w:before="120" w:after="120"/>
              <w:rPr>
                <w:rFonts w:ascii="Arial" w:eastAsia="Arial" w:hAnsi="Arial"/>
                <w:sz w:val="24"/>
                <w:szCs w:val="24"/>
              </w:rPr>
            </w:pPr>
            <w:r>
              <w:rPr>
                <w:rFonts w:ascii="Arial" w:eastAsia="Arial" w:hAnsi="Arial"/>
                <w:sz w:val="24"/>
                <w:szCs w:val="24"/>
              </w:rPr>
              <w:t>means the CSPS, NHSPS or LGPS.</w:t>
            </w:r>
          </w:p>
        </w:tc>
      </w:tr>
    </w:tbl>
    <w:p w14:paraId="49892C6C" w14:textId="77777777" w:rsidR="00CB0A10" w:rsidRDefault="00490BDE">
      <w:pPr>
        <w:rPr>
          <w:rFonts w:ascii="Arial" w:eastAsia="Arial" w:hAnsi="Arial"/>
          <w:b/>
          <w:color w:val="000000"/>
          <w:sz w:val="36"/>
          <w:szCs w:val="36"/>
        </w:rPr>
      </w:pPr>
      <w:bookmarkStart w:id="10" w:name="_heading=h.34g0dwd" w:colFirst="0" w:colLast="0"/>
      <w:bookmarkEnd w:id="10"/>
      <w:r>
        <w:br w:type="page"/>
      </w:r>
      <w:r>
        <w:rPr>
          <w:rFonts w:ascii="Arial" w:eastAsia="Arial" w:hAnsi="Arial"/>
          <w:b/>
          <w:color w:val="000000"/>
          <w:sz w:val="36"/>
          <w:szCs w:val="36"/>
        </w:rPr>
        <w:lastRenderedPageBreak/>
        <w:t xml:space="preserve">Part E: Staff Transfer on Exit </w:t>
      </w:r>
    </w:p>
    <w:p w14:paraId="2E7A073F" w14:textId="77777777" w:rsidR="00CB0A10" w:rsidRDefault="00490BDE">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14:paraId="1A74D7D4"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jlao46" w:colFirst="0" w:colLast="0"/>
      <w:bookmarkEnd w:id="11"/>
      <w:r>
        <w:rPr>
          <w:rFonts w:ascii="Arial" w:eastAsia="Arial" w:hAnsi="Arial"/>
          <w:color w:val="000000"/>
          <w:sz w:val="24"/>
          <w:szCs w:val="24"/>
        </w:rPr>
        <w:t>The Supplier agrees that within 20 Working Days of the earliest of:</w:t>
      </w:r>
    </w:p>
    <w:p w14:paraId="0F888EA0"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2" w:name="_heading=h.43ky6rz" w:colFirst="0" w:colLast="0"/>
      <w:bookmarkEnd w:id="12"/>
      <w:r>
        <w:rPr>
          <w:rFonts w:ascii="Arial" w:eastAsia="Arial" w:hAnsi="Arial"/>
          <w:color w:val="000000"/>
          <w:sz w:val="24"/>
          <w:szCs w:val="24"/>
        </w:rPr>
        <w:t xml:space="preserve">receipt of a notification from the Buyer of a Service Transfer or intended Service Transfer; </w:t>
      </w:r>
    </w:p>
    <w:p w14:paraId="04D442DB"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3" w:name="_heading=h.2iq8gzs" w:colFirst="0" w:colLast="0"/>
      <w:bookmarkEnd w:id="13"/>
      <w:r>
        <w:rPr>
          <w:rFonts w:ascii="Arial" w:eastAsia="Arial" w:hAnsi="Arial"/>
          <w:color w:val="000000"/>
          <w:sz w:val="24"/>
          <w:szCs w:val="24"/>
        </w:rPr>
        <w:t xml:space="preserve">receipt of the giving of notice of early termination or any Partial Termination of the relevant Contract; </w:t>
      </w:r>
    </w:p>
    <w:p w14:paraId="5E157DE9"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14:paraId="798C2FE1"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1215BB95" w14:textId="77777777" w:rsidR="00CB0A10" w:rsidRDefault="00490BDE">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Legislation, the Supplier's Provisional Supplier Personnel List, together with the Staffing Information in relation to the Supplier's Provisional Supplier Personnel L</w:t>
      </w:r>
      <w:r>
        <w:rPr>
          <w:rFonts w:ascii="Arial" w:eastAsia="Arial" w:hAnsi="Arial"/>
          <w:color w:val="000000"/>
          <w:sz w:val="24"/>
          <w:szCs w:val="24"/>
        </w:rPr>
        <w:t xml:space="preserve">ist and it shall provide an updated Supplier's Provisional Supplier Personnel List at such intervals as are reasonably requested by the Buyer.  </w:t>
      </w:r>
    </w:p>
    <w:p w14:paraId="66CA0BE2"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xvir7l" w:colFirst="0" w:colLast="0"/>
      <w:bookmarkEnd w:id="14"/>
      <w:r>
        <w:rPr>
          <w:rFonts w:ascii="Arial" w:eastAsia="Arial" w:hAnsi="Arial"/>
          <w:color w:val="000000"/>
          <w:sz w:val="24"/>
          <w:szCs w:val="24"/>
        </w:rPr>
        <w:t xml:space="preserve">At least 20 Working Days prior to the Service Transfer Date, the Supplier shall provide to the Buyer or at the </w:t>
      </w:r>
      <w:r>
        <w:rPr>
          <w:rFonts w:ascii="Arial" w:eastAsia="Arial" w:hAnsi="Arial"/>
          <w:color w:val="000000"/>
          <w:sz w:val="24"/>
          <w:szCs w:val="24"/>
        </w:rPr>
        <w:t>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w:t>
      </w:r>
      <w:r>
        <w:rPr>
          <w:rFonts w:ascii="Arial" w:eastAsia="Arial" w:hAnsi="Arial"/>
          <w:color w:val="000000"/>
          <w:sz w:val="24"/>
          <w:szCs w:val="24"/>
        </w:rPr>
        <w:t>n relation to the Supplier’s Final Supplier Personnel List (insofar as such information has not previously been provided).</w:t>
      </w:r>
    </w:p>
    <w:p w14:paraId="7036C540"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permitted to use and disclose information provided by the Supplier under Paragraphs 1.1 and 1.2 for the purpose of</w:t>
      </w:r>
      <w:r>
        <w:rPr>
          <w:rFonts w:ascii="Arial" w:eastAsia="Arial" w:hAnsi="Arial"/>
          <w:color w:val="000000"/>
          <w:sz w:val="24"/>
          <w:szCs w:val="24"/>
        </w:rPr>
        <w:t xml:space="preserve"> informing any prospective Replacement Supplier and/or Replacement Subcontractor. </w:t>
      </w:r>
    </w:p>
    <w:p w14:paraId="003A1487"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w:t>
      </w:r>
      <w:r>
        <w:rPr>
          <w:rFonts w:ascii="Arial" w:eastAsia="Arial" w:hAnsi="Arial"/>
          <w:color w:val="000000"/>
          <w:sz w:val="24"/>
          <w:szCs w:val="24"/>
        </w:rPr>
        <w:t> 1.2 shall be true and accurate in all material respects at the time of providing the information.</w:t>
      </w:r>
    </w:p>
    <w:p w14:paraId="4F321E4A"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w:t>
      </w:r>
      <w:r>
        <w:rPr>
          <w:rFonts w:ascii="Arial" w:eastAsia="Arial" w:hAnsi="Arial"/>
          <w:color w:val="000000"/>
          <w:sz w:val="24"/>
          <w:szCs w:val="24"/>
        </w:rPr>
        <w:t>ubcontractor shall not, assign any person to the provision of the Services who is not listed on the Supplier’s Provisional Supplier Personnel List and shall not without the approval of the Buyer (not to be unreasonably withheld or delayed):</w:t>
      </w:r>
    </w:p>
    <w:p w14:paraId="50C0CCE8" w14:textId="77777777" w:rsidR="00CB0A10" w:rsidRDefault="00490BD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0F81C836"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replacement is of equivalent grade, skills, experience and </w:t>
      </w:r>
      <w:r>
        <w:rPr>
          <w:rFonts w:ascii="Arial" w:eastAsia="Arial" w:hAnsi="Arial"/>
          <w:color w:val="000000"/>
          <w:sz w:val="24"/>
          <w:szCs w:val="24"/>
        </w:rPr>
        <w:lastRenderedPageBreak/>
        <w:t>expertise and is employed on the same terms and conditions of employment as t</w:t>
      </w:r>
      <w:r>
        <w:rPr>
          <w:rFonts w:ascii="Arial" w:eastAsia="Arial" w:hAnsi="Arial"/>
          <w:color w:val="000000"/>
          <w:sz w:val="24"/>
          <w:szCs w:val="24"/>
        </w:rPr>
        <w:t>he person he/she replaces</w:t>
      </w:r>
    </w:p>
    <w:p w14:paraId="00EA70A0"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3CEF55A9"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w:t>
      </w:r>
      <w:r>
        <w:rPr>
          <w:rFonts w:ascii="Arial" w:eastAsia="Arial" w:hAnsi="Arial"/>
          <w:color w:val="000000"/>
          <w:sz w:val="24"/>
          <w:szCs w:val="24"/>
        </w:rPr>
        <w:t>portion of working time spent on the Services (or the relevant part of the Services) by any of the Supplier Staff save for fulfilling assignments and projects previously scheduled and agreed;</w:t>
      </w:r>
    </w:p>
    <w:p w14:paraId="44B5FC54"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w:t>
      </w:r>
      <w:r>
        <w:rPr>
          <w:rFonts w:ascii="Arial" w:eastAsia="Arial" w:hAnsi="Arial"/>
          <w:color w:val="000000"/>
          <w:sz w:val="24"/>
          <w:szCs w:val="24"/>
        </w:rPr>
        <w:t>he making of any lump sum payment on the termination of employment of any employees listed on the Supplier's Provisional Supplier Personnel List;</w:t>
      </w:r>
    </w:p>
    <w:p w14:paraId="149DEFD8"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w:t>
      </w:r>
      <w:r>
        <w:rPr>
          <w:rFonts w:ascii="Arial" w:eastAsia="Arial" w:hAnsi="Arial"/>
          <w:color w:val="000000"/>
          <w:sz w:val="24"/>
          <w:szCs w:val="24"/>
        </w:rPr>
        <w:t>s (or the relevant part of the Services);</w:t>
      </w:r>
    </w:p>
    <w:p w14:paraId="0A06F655"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4824CB95" w14:textId="77777777" w:rsidR="00CB0A10" w:rsidRDefault="00490BDE">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w:t>
      </w:r>
      <w:r>
        <w:rPr>
          <w:rFonts w:ascii="Arial" w:eastAsia="Arial" w:hAnsi="Arial"/>
          <w:color w:val="000000"/>
          <w:sz w:val="24"/>
          <w:szCs w:val="24"/>
        </w:rPr>
        <w:t>ach Subcontractor shall promptly notify, the Buyer or, at the direction of the Buyer, any Replacement Supplier and any Replacement Subcontractor of any notice to terminate employment given by the Supplier or relevant Subcontractor or received from any pers</w:t>
      </w:r>
      <w:r>
        <w:rPr>
          <w:rFonts w:ascii="Arial" w:eastAsia="Arial" w:hAnsi="Arial"/>
          <w:color w:val="000000"/>
          <w:sz w:val="24"/>
          <w:szCs w:val="24"/>
        </w:rPr>
        <w:t>ons listed on the Supplier's Provisional Supplier Personnel List regardless of when such notice takes effect.</w:t>
      </w:r>
    </w:p>
    <w:p w14:paraId="46A2EF84"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w:t>
      </w:r>
      <w:r>
        <w:rPr>
          <w:rFonts w:ascii="Arial" w:eastAsia="Arial" w:hAnsi="Arial"/>
          <w:color w:val="000000"/>
          <w:sz w:val="24"/>
          <w:szCs w:val="24"/>
        </w:rPr>
        <w:t xml:space="preserve"> the Supplier for information relating to the manner in which the Services are organised.  Within 20 Working Days of receipt of a written request the Supplier shall provide, and shall procure that each Subcontractor shall provide, to the Buyer such informa</w:t>
      </w:r>
      <w:r>
        <w:rPr>
          <w:rFonts w:ascii="Arial" w:eastAsia="Arial" w:hAnsi="Arial"/>
          <w:color w:val="000000"/>
          <w:sz w:val="24"/>
          <w:szCs w:val="24"/>
        </w:rPr>
        <w:t>tion as the Buyer may reasonably require relating to the manner in which the Services are organised, which shall include:</w:t>
      </w:r>
    </w:p>
    <w:p w14:paraId="73CB735E"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5F15C3E0"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61084369"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w:t>
      </w:r>
      <w:r>
        <w:rPr>
          <w:rFonts w:ascii="Arial" w:eastAsia="Arial" w:hAnsi="Arial"/>
          <w:color w:val="000000"/>
          <w:sz w:val="24"/>
          <w:szCs w:val="24"/>
        </w:rPr>
        <w:t>exes to Part D (Pensions) (as appropriate); and</w:t>
      </w:r>
    </w:p>
    <w:p w14:paraId="150F0796"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CA2C34E"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Supplier shall provide, and shall procure that each Subcontractor shall provide, all reasonable cooperation and assistance </w:t>
      </w:r>
      <w:r>
        <w:rPr>
          <w:rFonts w:ascii="Arial" w:eastAsia="Arial" w:hAnsi="Arial"/>
          <w:color w:val="000000"/>
          <w:sz w:val="24"/>
          <w:szCs w:val="24"/>
        </w:rPr>
        <w:t>to the Buyer, any Replacement Supplier and/or any Replacement Subcontractor to ensure the smooth transfer of the Transferring Supplier Employees on the Service Transfer Date including providing sufficient information in advance of the Service Transfer Date</w:t>
      </w:r>
      <w:r>
        <w:rPr>
          <w:rFonts w:ascii="Arial" w:eastAsia="Arial" w:hAnsi="Arial"/>
          <w:color w:val="000000"/>
          <w:sz w:val="24"/>
          <w:szCs w:val="24"/>
        </w:rPr>
        <w:t xml:space="preserve"> to ensure that all necessary payroll arrangements can be made to enable the Transferring Supplier Employees to be paid as appropriate.  Without prejudice to the generality of the foregoing, within 5 Working Days following the Service Transfer Date, the Su</w:t>
      </w:r>
      <w:r>
        <w:rPr>
          <w:rFonts w:ascii="Arial" w:eastAsia="Arial" w:hAnsi="Arial"/>
          <w:color w:val="000000"/>
          <w:sz w:val="24"/>
          <w:szCs w:val="24"/>
        </w:rPr>
        <w:t>pplier shall provide, and shall procure that each Subcontractor shall provide, to the Buyer or, at the direction of the Buyer, to any Replacement Supplier and/or any Replacement Subcontractor (as appropriate), in respect of each person on the Supplier's Fi</w:t>
      </w:r>
      <w:r>
        <w:rPr>
          <w:rFonts w:ascii="Arial" w:eastAsia="Arial" w:hAnsi="Arial"/>
          <w:color w:val="000000"/>
          <w:sz w:val="24"/>
          <w:szCs w:val="24"/>
        </w:rPr>
        <w:t xml:space="preserve">nal Supplier Personnel List who is a Transferring Supplier Employee: </w:t>
      </w:r>
    </w:p>
    <w:p w14:paraId="0B2B81EC"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1F23F482"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167D46D"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474D3216"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78763AF"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w:t>
      </w:r>
      <w:r>
        <w:rPr>
          <w:rFonts w:ascii="Arial" w:eastAsia="Arial" w:hAnsi="Arial"/>
          <w:color w:val="000000"/>
          <w:sz w:val="24"/>
          <w:szCs w:val="24"/>
        </w:rPr>
        <w:t>; and</w:t>
      </w:r>
    </w:p>
    <w:p w14:paraId="20082DC8"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74D11936" w14:textId="77777777" w:rsidR="00CB0A10" w:rsidRDefault="00490BDE">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14C1185E"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14:paraId="4ED0896B"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 xml:space="preserve">ll the Transferring Supplier Employees arising in respect of the period up to (and including) the Service Transfer Date (including (without limit) the payment of all remuneration, benefits, entitlements, and outgoings, all wages, accrued </w:t>
      </w:r>
      <w:r>
        <w:rPr>
          <w:rFonts w:ascii="Arial" w:eastAsia="Arial" w:hAnsi="Arial"/>
          <w:color w:val="000000"/>
          <w:sz w:val="24"/>
          <w:szCs w:val="24"/>
        </w:rPr>
        <w:lastRenderedPageBreak/>
        <w:t>but untaken holida</w:t>
      </w:r>
      <w:r>
        <w:rPr>
          <w:rFonts w:ascii="Arial" w:eastAsia="Arial" w:hAnsi="Arial"/>
          <w:color w:val="000000"/>
          <w:sz w:val="24"/>
          <w:szCs w:val="24"/>
        </w:rPr>
        <w:t xml:space="preserve">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 and/or the Subcontractor (as appropriate); and (ii) the Replacement Supplier and/or R</w:t>
      </w:r>
      <w:r>
        <w:rPr>
          <w:rFonts w:ascii="Arial" w:eastAsia="Arial" w:hAnsi="Arial"/>
          <w:color w:val="000000"/>
          <w:sz w:val="24"/>
          <w:szCs w:val="24"/>
        </w:rPr>
        <w:t xml:space="preserve">eplacement Subcontractor.  </w:t>
      </w:r>
    </w:p>
    <w:p w14:paraId="31349B59"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hv69ve" w:colFirst="0" w:colLast="0"/>
      <w:bookmarkEnd w:id="1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4A387821"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w:t>
      </w:r>
      <w:r>
        <w:rPr>
          <w:rFonts w:ascii="Arial" w:eastAsia="Arial" w:hAnsi="Arial"/>
          <w:color w:val="000000"/>
          <w:sz w:val="24"/>
          <w:szCs w:val="24"/>
        </w:rPr>
        <w:t xml:space="preserve">r in respect of any Transferring Supplier Employee or any appropriate employee representative (as defined in the Employment Regulations) of any Transferring Supplier Employee whether occurring before, on or after the Service Transfer Date; </w:t>
      </w:r>
    </w:p>
    <w:p w14:paraId="736558CF"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w:t>
      </w:r>
      <w:r>
        <w:rPr>
          <w:rFonts w:ascii="Arial" w:eastAsia="Arial" w:hAnsi="Arial"/>
          <w:color w:val="000000"/>
          <w:sz w:val="24"/>
          <w:szCs w:val="24"/>
        </w:rPr>
        <w:t xml:space="preserve">on-observance by the Supplier or any Subcontractor occurring on or before the Service Transfer Date of: </w:t>
      </w:r>
    </w:p>
    <w:p w14:paraId="120D00B4" w14:textId="77777777" w:rsidR="00CB0A10" w:rsidRDefault="00490BDE">
      <w:pPr>
        <w:pStyle w:val="Heading5"/>
        <w:numPr>
          <w:ilvl w:val="4"/>
          <w:numId w:val="4"/>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17E0A47A" w14:textId="77777777" w:rsidR="00CB0A10" w:rsidRDefault="00490BDE">
      <w:pPr>
        <w:pStyle w:val="Heading5"/>
        <w:numPr>
          <w:ilvl w:val="4"/>
          <w:numId w:val="4"/>
        </w:numPr>
        <w:ind w:left="3402" w:hanging="1134"/>
        <w:rPr>
          <w:rFonts w:ascii="Arial" w:eastAsia="Arial" w:hAnsi="Arial"/>
          <w:sz w:val="24"/>
          <w:szCs w:val="24"/>
        </w:rPr>
      </w:pPr>
      <w:r>
        <w:rPr>
          <w:rFonts w:ascii="Arial" w:eastAsia="Arial" w:hAnsi="Arial"/>
          <w:sz w:val="24"/>
          <w:szCs w:val="24"/>
        </w:rPr>
        <w:t>any other custom or practice with a trade union or staff association</w:t>
      </w:r>
      <w:r>
        <w:rPr>
          <w:rFonts w:ascii="Arial" w:eastAsia="Arial" w:hAnsi="Arial"/>
          <w:sz w:val="24"/>
          <w:szCs w:val="24"/>
        </w:rPr>
        <w:t xml:space="preserve"> in respect of any Transferring Supplier Employees which the Supplier or any Subcontractor is contractually bound to honour;</w:t>
      </w:r>
    </w:p>
    <w:p w14:paraId="2012A0CF"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6" w:name="_heading=h.1x0gk37" w:colFirst="0" w:colLast="0"/>
      <w:bookmarkEnd w:id="16"/>
      <w:r>
        <w:rPr>
          <w:rFonts w:ascii="Arial" w:eastAsia="Arial" w:hAnsi="Arial"/>
          <w:color w:val="000000"/>
          <w:sz w:val="24"/>
          <w:szCs w:val="24"/>
        </w:rPr>
        <w:t>any claim by any trade union or other body or person representing any Transferring Supplier Employees arising from or connected wit</w:t>
      </w:r>
      <w:r>
        <w:rPr>
          <w:rFonts w:ascii="Arial" w:eastAsia="Arial" w:hAnsi="Arial"/>
          <w:color w:val="000000"/>
          <w:sz w:val="24"/>
          <w:szCs w:val="24"/>
        </w:rPr>
        <w:t>h any failure by the Supplier or a Subcontractor to comply with any legal obligation to such trade union, body or person arising on or before the Service Transfer Date;</w:t>
      </w:r>
    </w:p>
    <w:p w14:paraId="05AFD96E"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634F53A" w14:textId="77777777" w:rsidR="00CB0A10" w:rsidRDefault="00490BDE">
      <w:pPr>
        <w:pStyle w:val="Heading5"/>
        <w:numPr>
          <w:ilvl w:val="4"/>
          <w:numId w:val="2"/>
        </w:numPr>
        <w:ind w:left="3402" w:hanging="1134"/>
        <w:rPr>
          <w:rFonts w:ascii="Arial" w:eastAsia="Arial" w:hAnsi="Arial"/>
          <w:sz w:val="24"/>
          <w:szCs w:val="24"/>
        </w:rPr>
      </w:pPr>
      <w:r>
        <w:rPr>
          <w:rFonts w:ascii="Arial" w:eastAsia="Arial" w:hAnsi="Arial"/>
          <w:sz w:val="24"/>
          <w:szCs w:val="24"/>
        </w:rPr>
        <w:t>in relation to any Transferring Supplier Employee, t</w:t>
      </w:r>
      <w:r>
        <w:rPr>
          <w:rFonts w:ascii="Arial" w:eastAsia="Arial" w:hAnsi="Arial"/>
          <w:sz w:val="24"/>
          <w:szCs w:val="24"/>
        </w:rPr>
        <w:t>o the extent that the proceeding, claim or demand by HMRC or other statutory authority relates to financial obligations arising on and before the Service Transfer Date; and</w:t>
      </w:r>
    </w:p>
    <w:p w14:paraId="78B0889C" w14:textId="77777777" w:rsidR="00CB0A10" w:rsidRDefault="00490BDE">
      <w:pPr>
        <w:pStyle w:val="Heading5"/>
        <w:numPr>
          <w:ilvl w:val="4"/>
          <w:numId w:val="2"/>
        </w:numPr>
        <w:ind w:left="3402" w:hanging="1134"/>
        <w:rPr>
          <w:rFonts w:ascii="Arial" w:eastAsia="Arial" w:hAnsi="Arial"/>
          <w:sz w:val="24"/>
          <w:szCs w:val="24"/>
        </w:rPr>
      </w:pPr>
      <w:r>
        <w:rPr>
          <w:rFonts w:ascii="Arial" w:eastAsia="Arial" w:hAnsi="Arial"/>
          <w:sz w:val="24"/>
          <w:szCs w:val="24"/>
        </w:rPr>
        <w:lastRenderedPageBreak/>
        <w:t xml:space="preserve">in relation to any employee who is not identified in the Supplier’s Final Supplier </w:t>
      </w:r>
      <w:r>
        <w:rPr>
          <w:rFonts w:ascii="Arial" w:eastAsia="Arial" w:hAnsi="Arial"/>
          <w:sz w:val="24"/>
          <w:szCs w:val="24"/>
        </w:rPr>
        <w:t>Personnel List, and in respect of whom it is later alleged or determined that the Employment Regulations applied so as to transfer his/her employment from the Supplier to the Buyer and/or Replacement Supplier and/or any Replacement Subcontractor, to the ex</w:t>
      </w:r>
      <w:r>
        <w:rPr>
          <w:rFonts w:ascii="Arial" w:eastAsia="Arial" w:hAnsi="Arial"/>
          <w:sz w:val="24"/>
          <w:szCs w:val="24"/>
        </w:rPr>
        <w:t>tent that the proceeding, claim or demand by HMRC or other statutory authority relates to financial obligations arising on or before the Service Transfer Date;</w:t>
      </w:r>
    </w:p>
    <w:p w14:paraId="2775C102"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w:t>
      </w:r>
      <w:r>
        <w:rPr>
          <w:rFonts w:ascii="Arial" w:eastAsia="Arial" w:hAnsi="Arial"/>
          <w:color w:val="000000"/>
          <w:sz w:val="24"/>
          <w:szCs w:val="24"/>
        </w:rPr>
        <w:t>s, salaries and all other benefits and all PAYE tax deductions and national insurance contributions relating to the Transferring Supplier Employees in respect of the period up to (and including) the Service Transfer Date);</w:t>
      </w:r>
    </w:p>
    <w:p w14:paraId="6B7A38C6"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w:t>
      </w:r>
      <w:r>
        <w:rPr>
          <w:rFonts w:ascii="Arial" w:eastAsia="Arial" w:hAnsi="Arial"/>
          <w:color w:val="000000"/>
          <w:sz w:val="24"/>
          <w:szCs w:val="24"/>
        </w:rPr>
        <w:t>f any person employed or formerly employed by the Supplier or any Subcontractor other than a Transferring Supplier Employee identified in the Supplier’s Final Supplier Personnel List for whom it is alleged the Buyer and/or the Replacement Supplier and/or a</w:t>
      </w:r>
      <w:r>
        <w:rPr>
          <w:rFonts w:ascii="Arial" w:eastAsia="Arial" w:hAnsi="Arial"/>
          <w:color w:val="000000"/>
          <w:sz w:val="24"/>
          <w:szCs w:val="24"/>
        </w:rPr>
        <w:t>ny Replacement Subcontractor may be liable by virtue of the relevant Contract and/or the Employment Regulations and/or the Acquired Rights Directive; and</w:t>
      </w:r>
    </w:p>
    <w:p w14:paraId="4AE0F5F8"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w:t>
      </w:r>
      <w:r>
        <w:rPr>
          <w:rFonts w:ascii="Arial" w:eastAsia="Arial" w:hAnsi="Arial"/>
          <w:color w:val="000000"/>
          <w:sz w:val="24"/>
          <w:szCs w:val="24"/>
        </w:rPr>
        <w:t>entative (as defined in the Employment Regulations) of any Transferring Supplier Employee relating to any act or omission of the Supplier or any Subcontractor in relation to its obligations under regulation 13 of the Employment Regulations, except to the e</w:t>
      </w:r>
      <w:r>
        <w:rPr>
          <w:rFonts w:ascii="Arial" w:eastAsia="Arial" w:hAnsi="Arial"/>
          <w:color w:val="000000"/>
          <w:sz w:val="24"/>
          <w:szCs w:val="24"/>
        </w:rPr>
        <w:t>xtent that the liability arises from the failure by the Buyer and/or Replacement Supplier to comply with regulation 13(4) of the Employment Regulations.</w:t>
      </w:r>
    </w:p>
    <w:p w14:paraId="3349169E" w14:textId="77777777" w:rsidR="00CB0A10" w:rsidRDefault="00CB0A10">
      <w:pPr>
        <w:pBdr>
          <w:top w:val="nil"/>
          <w:left w:val="nil"/>
          <w:bottom w:val="nil"/>
          <w:right w:val="nil"/>
          <w:between w:val="nil"/>
        </w:pBdr>
        <w:spacing w:before="120" w:after="120"/>
        <w:ind w:left="2214" w:hanging="1080"/>
        <w:rPr>
          <w:rFonts w:ascii="Arial" w:eastAsia="Arial" w:hAnsi="Arial"/>
          <w:color w:val="000000"/>
          <w:sz w:val="24"/>
          <w:szCs w:val="24"/>
        </w:rPr>
      </w:pPr>
    </w:p>
    <w:p w14:paraId="15F577FA"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h042r0" w:colFirst="0" w:colLast="0"/>
      <w:bookmarkEnd w:id="17"/>
      <w:r>
        <w:rPr>
          <w:rFonts w:ascii="Arial" w:eastAsia="Arial" w:hAnsi="Arial"/>
          <w:color w:val="000000"/>
          <w:sz w:val="24"/>
          <w:szCs w:val="24"/>
        </w:rPr>
        <w:t xml:space="preserve">The indemnities in Paragraph 2.3 shall not apply to the extent that the Employee Liabilities arise or </w:t>
      </w:r>
      <w:r>
        <w:rPr>
          <w:rFonts w:ascii="Arial" w:eastAsia="Arial" w:hAnsi="Arial"/>
          <w:color w:val="000000"/>
          <w:sz w:val="24"/>
          <w:szCs w:val="24"/>
        </w:rPr>
        <w:t xml:space="preserve">are attributable to an act or omission of the Replacement Supplier and/or any Replacement Subcontractor whether occurring or having its origin before, on or after the Service Transfer Date including any Employee Liabilities: </w:t>
      </w:r>
    </w:p>
    <w:p w14:paraId="05087DBA"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w:t>
      </w:r>
      <w:r>
        <w:rPr>
          <w:rFonts w:ascii="Arial" w:eastAsia="Arial" w:hAnsi="Arial"/>
          <w:color w:val="000000"/>
          <w:sz w:val="24"/>
          <w:szCs w:val="24"/>
        </w:rPr>
        <w:t>occur in the period on or after the Service Transfer Date); or</w:t>
      </w:r>
    </w:p>
    <w:p w14:paraId="31CBFC1F"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799409E6" w14:textId="77777777" w:rsidR="00CB0A10" w:rsidRDefault="00CB0A10">
      <w:pPr>
        <w:pBdr>
          <w:top w:val="nil"/>
          <w:left w:val="nil"/>
          <w:bottom w:val="nil"/>
          <w:right w:val="nil"/>
          <w:between w:val="nil"/>
        </w:pBdr>
        <w:spacing w:before="120" w:after="120"/>
        <w:ind w:left="1134" w:hanging="1080"/>
        <w:rPr>
          <w:color w:val="000000"/>
        </w:rPr>
      </w:pPr>
    </w:p>
    <w:p w14:paraId="3F4CB830"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w5ecyt" w:colFirst="0" w:colLast="0"/>
      <w:bookmarkEnd w:id="18"/>
      <w:r>
        <w:rPr>
          <w:rFonts w:ascii="Arial" w:eastAsia="Arial" w:hAnsi="Arial"/>
          <w:color w:val="000000"/>
          <w:sz w:val="24"/>
          <w:szCs w:val="24"/>
        </w:rPr>
        <w:t>If any person who is not identifie</w:t>
      </w:r>
      <w:r>
        <w:rPr>
          <w:rFonts w:ascii="Arial" w:eastAsia="Arial" w:hAnsi="Arial"/>
          <w:color w:val="000000"/>
          <w:sz w:val="24"/>
          <w:szCs w:val="24"/>
        </w:rPr>
        <w:t>d in the Supplier's Final Supplier Employee List claims, or it is determined in relation to any employees of the Supplier, that his/her contract of employment has been transferred from the Supplier to the Replacement Supplier and/or Replacement Subcontract</w:t>
      </w:r>
      <w:r>
        <w:rPr>
          <w:rFonts w:ascii="Arial" w:eastAsia="Arial" w:hAnsi="Arial"/>
          <w:color w:val="000000"/>
          <w:sz w:val="24"/>
          <w:szCs w:val="24"/>
        </w:rPr>
        <w:t>or pursuant to the Employment Regulations or the Acquired Rights Directive, then:</w:t>
      </w:r>
    </w:p>
    <w:p w14:paraId="7D42D82F"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9" w:name="_heading=h.1baon6m" w:colFirst="0" w:colLast="0"/>
      <w:bookmarkEnd w:id="19"/>
      <w:r>
        <w:rPr>
          <w:rFonts w:ascii="Arial" w:eastAsia="Arial" w:hAnsi="Arial"/>
          <w:color w:val="000000"/>
          <w:sz w:val="24"/>
          <w:szCs w:val="24"/>
        </w:rPr>
        <w:t>the Buyer shall procure that the Replacement Supplier and/or Replacement Subcontractor will, within 5 Working Days of becoming aware of that fact, notify the Buyer and the Su</w:t>
      </w:r>
      <w:r>
        <w:rPr>
          <w:rFonts w:ascii="Arial" w:eastAsia="Arial" w:hAnsi="Arial"/>
          <w:color w:val="000000"/>
          <w:sz w:val="24"/>
          <w:szCs w:val="24"/>
        </w:rPr>
        <w:t xml:space="preserve">pplier in writing; and </w:t>
      </w:r>
    </w:p>
    <w:p w14:paraId="086C7F9C"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0" w:name="_heading=h.3vac5uf" w:colFirst="0" w:colLast="0"/>
      <w:bookmarkEnd w:id="2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t>
      </w:r>
      <w:r>
        <w:rPr>
          <w:rFonts w:ascii="Arial" w:eastAsia="Arial" w:hAnsi="Arial"/>
          <w:color w:val="000000"/>
          <w:sz w:val="24"/>
          <w:szCs w:val="24"/>
        </w:rPr>
        <w:t xml:space="preserve">with Law, within15 Working Days of receipt of notice from the Replacement Supplier and/or Replacement Subcontractor. </w:t>
      </w:r>
    </w:p>
    <w:p w14:paraId="456832F4"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w:t>
      </w:r>
      <w:r>
        <w:rPr>
          <w:rFonts w:ascii="Arial" w:eastAsia="Arial" w:hAnsi="Arial"/>
          <w:color w:val="000000"/>
          <w:sz w:val="24"/>
          <w:szCs w:val="24"/>
        </w:rPr>
        <w:t xml:space="preserve"> the Replacement Supplier shall, or procure that the and/or Replacement Subcontractor shall, immediately release or procure the release the person from his/her employment or alleged employment;</w:t>
      </w:r>
    </w:p>
    <w:p w14:paraId="497785B8"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2afmg28" w:colFirst="0" w:colLast="0"/>
      <w:bookmarkEnd w:id="21"/>
      <w:r>
        <w:rPr>
          <w:rFonts w:ascii="Arial" w:eastAsia="Arial" w:hAnsi="Arial"/>
          <w:color w:val="000000"/>
          <w:sz w:val="24"/>
          <w:szCs w:val="24"/>
        </w:rPr>
        <w:t>If after the 15 Working Day period specified in Paragraph 2.5.</w:t>
      </w:r>
      <w:r>
        <w:rPr>
          <w:rFonts w:ascii="Arial" w:eastAsia="Arial" w:hAnsi="Arial"/>
          <w:color w:val="000000"/>
          <w:sz w:val="24"/>
          <w:szCs w:val="24"/>
        </w:rPr>
        <w:t xml:space="preserve">2 has elapsed: </w:t>
      </w:r>
    </w:p>
    <w:p w14:paraId="0951BDD6"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1FEC73FD"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D2A820F"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72CC486C" w14:textId="77777777" w:rsidR="00CB0A10" w:rsidRDefault="00490BDE">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2203424F"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14:paraId="721399E7" w14:textId="77777777" w:rsidR="00CB0A10" w:rsidRDefault="00490BD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pkwqa1" w:colFirst="0" w:colLast="0"/>
      <w:bookmarkEnd w:id="22"/>
      <w:r>
        <w:rPr>
          <w:rFonts w:ascii="Arial" w:eastAsia="Arial" w:hAnsi="Arial"/>
          <w:color w:val="000000"/>
          <w:sz w:val="24"/>
          <w:szCs w:val="24"/>
        </w:rPr>
        <w:t xml:space="preserve">The indemnity in Paragraph 2.8: </w:t>
      </w:r>
    </w:p>
    <w:p w14:paraId="75041E83"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3A138180" w14:textId="77777777" w:rsidR="00CB0A10" w:rsidRDefault="00490BDE">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195BD35C" w14:textId="77777777" w:rsidR="00CB0A10" w:rsidRDefault="00490BDE">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72C82B50" w14:textId="77777777" w:rsidR="00CB0A10" w:rsidRDefault="00490BDE">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14:paraId="0432936D" w14:textId="77777777" w:rsidR="00CB0A10" w:rsidRDefault="00490BDE">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234E7DB6" w14:textId="77777777" w:rsidR="00CB0A10" w:rsidRDefault="00490BDE">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w:t>
      </w:r>
      <w:r>
        <w:rPr>
          <w:rFonts w:ascii="Arial" w:eastAsia="Arial" w:hAnsi="Arial"/>
          <w:color w:val="000000"/>
          <w:sz w:val="24"/>
          <w:szCs w:val="24"/>
        </w:rPr>
        <w:t xml:space="preserve"> Replacement Subcontractor neglected to follow a fair dismissal procedure; and </w:t>
      </w:r>
    </w:p>
    <w:p w14:paraId="1539830A"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3" w:name="_heading=h.39kk8xu" w:colFirst="0" w:colLast="0"/>
      <w:bookmarkEnd w:id="23"/>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5A64DAE4"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w:t>
      </w:r>
      <w:r>
        <w:rPr>
          <w:rFonts w:ascii="Arial" w:eastAsia="Arial" w:hAnsi="Arial"/>
          <w:color w:val="000000"/>
          <w:sz w:val="24"/>
          <w:szCs w:val="24"/>
        </w:rPr>
        <w:t>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w:t>
      </w:r>
      <w:r>
        <w:rPr>
          <w:rFonts w:ascii="Arial" w:eastAsia="Arial" w:hAnsi="Arial"/>
          <w:color w:val="000000"/>
          <w:sz w:val="24"/>
          <w:szCs w:val="24"/>
        </w:rPr>
        <w:t xml:space="preserve"> .</w:t>
      </w:r>
      <w:proofErr w:type="gramEnd"/>
    </w:p>
    <w:p w14:paraId="6A2E48DF"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w:t>
      </w:r>
      <w:r>
        <w:rPr>
          <w:rFonts w:ascii="Arial" w:eastAsia="Arial" w:hAnsi="Arial"/>
          <w:color w:val="000000"/>
          <w:sz w:val="24"/>
          <w:szCs w:val="24"/>
        </w:rPr>
        <w:t>obligations in respect of any person identified in the Supplier’s Final Supplier Personnel List before and on the Service Transfer Date (including the payment of all remuneration, benefits, entitlements and outgoings, all wages, accrued but untaken holiday</w:t>
      </w:r>
      <w:r>
        <w:rPr>
          <w:rFonts w:ascii="Arial" w:eastAsia="Arial" w:hAnsi="Arial"/>
          <w:color w:val="000000"/>
          <w:sz w:val="24"/>
          <w:szCs w:val="24"/>
        </w:rPr>
        <w:t xml:space="preserve"> pay, bonuses, commissions, payments of PAYE, national insurance contributions and pension contributions and such sums due as a result of any Fair Deal Employees' participation in the Schemes and any requirement to set up a broadly comparable pension schem</w:t>
      </w:r>
      <w:r>
        <w:rPr>
          <w:rFonts w:ascii="Arial" w:eastAsia="Arial" w:hAnsi="Arial"/>
          <w:color w:val="000000"/>
          <w:sz w:val="24"/>
          <w:szCs w:val="24"/>
        </w:rPr>
        <w:t xml:space="preserve">e which in any case are attributable in whole or in part in respect of the period up to (and including) the Service Transfer Date) and any necessary apportionments in respect of any periodic payments shall be made between: </w:t>
      </w:r>
    </w:p>
    <w:p w14:paraId="0CAE905F" w14:textId="77777777" w:rsidR="00CB0A10" w:rsidRDefault="00490BDE">
      <w:pPr>
        <w:pStyle w:val="Heading4"/>
        <w:numPr>
          <w:ilvl w:val="3"/>
          <w:numId w:val="2"/>
        </w:numPr>
        <w:rPr>
          <w:rFonts w:ascii="Arial" w:eastAsia="Arial" w:hAnsi="Arial"/>
          <w:sz w:val="24"/>
          <w:szCs w:val="24"/>
        </w:rPr>
      </w:pPr>
      <w:r>
        <w:rPr>
          <w:rFonts w:ascii="Arial" w:eastAsia="Arial" w:hAnsi="Arial"/>
          <w:sz w:val="24"/>
          <w:szCs w:val="24"/>
        </w:rPr>
        <w:t>the Supplier and/or any Subcontractor; and</w:t>
      </w:r>
    </w:p>
    <w:p w14:paraId="1FE53B92" w14:textId="77777777" w:rsidR="00CB0A10" w:rsidRDefault="00490BDE">
      <w:pPr>
        <w:pStyle w:val="Heading4"/>
        <w:numPr>
          <w:ilvl w:val="3"/>
          <w:numId w:val="2"/>
        </w:numPr>
        <w:rPr>
          <w:rFonts w:ascii="Arial" w:eastAsia="Arial" w:hAnsi="Arial"/>
          <w:sz w:val="24"/>
          <w:szCs w:val="24"/>
        </w:rPr>
      </w:pPr>
      <w:r>
        <w:rPr>
          <w:rFonts w:ascii="Arial" w:eastAsia="Arial" w:hAnsi="Arial"/>
          <w:sz w:val="24"/>
          <w:szCs w:val="24"/>
        </w:rPr>
        <w:t>the Replacement Supplier and/or the Replacement Subcontractor.</w:t>
      </w:r>
    </w:p>
    <w:p w14:paraId="382B0637" w14:textId="77777777" w:rsidR="00CB0A10" w:rsidRDefault="00CB0A10">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59A2BF8"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1opuj5n" w:colFirst="0" w:colLast="0"/>
      <w:bookmarkEnd w:id="24"/>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w:t>
      </w:r>
      <w:r>
        <w:rPr>
          <w:rFonts w:ascii="Arial" w:eastAsia="Arial" w:hAnsi="Arial"/>
          <w:color w:val="000000"/>
          <w:sz w:val="24"/>
          <w:szCs w:val="24"/>
        </w:rPr>
        <w:t>ontractor, in writing such information as is necessary to enable the Buyer, the Replacement Supplier and/or Replacement Subcontractor to carry out their respective duties under regulation 13 of the Employment Regulations. The Buyer shall procure that the R</w:t>
      </w:r>
      <w:r>
        <w:rPr>
          <w:rFonts w:ascii="Arial" w:eastAsia="Arial" w:hAnsi="Arial"/>
          <w:color w:val="000000"/>
          <w:sz w:val="24"/>
          <w:szCs w:val="24"/>
        </w:rPr>
        <w:t>eplacement Supplier and/or Replacement Subcontractor, shall promptly provide to the Supplier and each Subcontractor in writing such information as is necessary to enable the Supplier and each Subcontractor to carry out their respective duties under regulat</w:t>
      </w:r>
      <w:r>
        <w:rPr>
          <w:rFonts w:ascii="Arial" w:eastAsia="Arial" w:hAnsi="Arial"/>
          <w:color w:val="000000"/>
          <w:sz w:val="24"/>
          <w:szCs w:val="24"/>
        </w:rPr>
        <w:t>ion 13 of the Employment Regulations.</w:t>
      </w:r>
    </w:p>
    <w:p w14:paraId="6695A794" w14:textId="77777777" w:rsidR="00CB0A10" w:rsidRDefault="00490BD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48pi1tg" w:colFirst="0" w:colLast="0"/>
      <w:bookmarkEnd w:id="25"/>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w:t>
      </w:r>
      <w:r>
        <w:rPr>
          <w:rFonts w:ascii="Arial" w:eastAsia="Arial" w:hAnsi="Arial"/>
          <w:color w:val="000000"/>
          <w:sz w:val="24"/>
          <w:szCs w:val="24"/>
        </w:rPr>
        <w:t xml:space="preserve">bilities arising from or as a result of: </w:t>
      </w:r>
    </w:p>
    <w:p w14:paraId="164AB47B"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w:t>
      </w:r>
      <w:r>
        <w:rPr>
          <w:rFonts w:ascii="Arial" w:eastAsia="Arial" w:hAnsi="Arial"/>
          <w:color w:val="000000"/>
          <w:sz w:val="24"/>
          <w:szCs w:val="24"/>
        </w:rPr>
        <w:t xml:space="preserve">ntative (as defined in the Employment Regulations) of any such Transferring Supplier Employee; </w:t>
      </w:r>
    </w:p>
    <w:p w14:paraId="4AFA92BF"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09DC8ED8" w14:textId="77777777" w:rsidR="00CB0A10" w:rsidRDefault="00490BDE">
      <w:pPr>
        <w:pStyle w:val="Heading5"/>
        <w:numPr>
          <w:ilvl w:val="4"/>
          <w:numId w:val="2"/>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identified in the Supplier’s Final Supplier Pers</w:t>
      </w:r>
      <w:r>
        <w:rPr>
          <w:rFonts w:ascii="Arial" w:eastAsia="Arial" w:hAnsi="Arial"/>
          <w:sz w:val="24"/>
          <w:szCs w:val="24"/>
        </w:rPr>
        <w:t xml:space="preserve">onnel List; and/or </w:t>
      </w:r>
    </w:p>
    <w:p w14:paraId="6D60A5B2" w14:textId="77777777" w:rsidR="00CB0A10" w:rsidRDefault="00490BDE">
      <w:pPr>
        <w:pStyle w:val="Heading5"/>
        <w:numPr>
          <w:ilvl w:val="4"/>
          <w:numId w:val="2"/>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2FC18478"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w:t>
      </w:r>
      <w:r>
        <w:rPr>
          <w:rFonts w:ascii="Arial" w:eastAsia="Arial" w:hAnsi="Arial"/>
          <w:color w:val="000000"/>
          <w:sz w:val="24"/>
          <w:szCs w:val="24"/>
        </w:rPr>
        <w:t>aim by any trade union or other body or person representing any Transferring Supplier Employees identified in the Supplier’s Final Supplier Personnel List arising from or connected with any failure by the Replacement Supplier and/or Replacement Subcontract</w:t>
      </w:r>
      <w:r>
        <w:rPr>
          <w:rFonts w:ascii="Arial" w:eastAsia="Arial" w:hAnsi="Arial"/>
          <w:color w:val="000000"/>
          <w:sz w:val="24"/>
          <w:szCs w:val="24"/>
        </w:rPr>
        <w:t>or to comply with any legal obligation to such trade union, body or person arising on or after the Service Transfer Date;</w:t>
      </w:r>
    </w:p>
    <w:p w14:paraId="2E03AB2A"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w:t>
      </w:r>
      <w:r>
        <w:rPr>
          <w:rFonts w:ascii="Arial" w:eastAsia="Arial" w:hAnsi="Arial"/>
          <w:color w:val="000000"/>
          <w:sz w:val="24"/>
          <w:szCs w:val="24"/>
        </w:rPr>
        <w:t>conditions of any Transferring Supplier Employees identified in the Supplier’s Final Supplier Personnel List on or after their transfer to the Replacement Supplier or Replacement Subcontractor (as the case may be) on the Service Transfer Date, or to change</w:t>
      </w:r>
      <w:r>
        <w:rPr>
          <w:rFonts w:ascii="Arial" w:eastAsia="Arial" w:hAnsi="Arial"/>
          <w:color w:val="000000"/>
          <w:sz w:val="24"/>
          <w:szCs w:val="24"/>
        </w:rPr>
        <w:t xml:space="preserv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w:t>
      </w:r>
      <w:r>
        <w:rPr>
          <w:rFonts w:ascii="Arial" w:eastAsia="Arial" w:hAnsi="Arial"/>
          <w:color w:val="000000"/>
          <w:sz w:val="24"/>
          <w:szCs w:val="24"/>
        </w:rPr>
        <w:t xml:space="preserve">terminated under regulation 4(9) of the Employment Regulations) before the Service Transfer Date as a result of or for a reason connected to such proposed changes; </w:t>
      </w:r>
    </w:p>
    <w:p w14:paraId="5DCA2D3E"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w:t>
      </w:r>
      <w:r>
        <w:rPr>
          <w:rFonts w:ascii="Arial" w:eastAsia="Arial" w:hAnsi="Arial"/>
          <w:color w:val="000000"/>
          <w:sz w:val="24"/>
          <w:szCs w:val="24"/>
        </w:rPr>
        <w:t>nt Subcontractor to, or in respect of, any Transferring Supplier Employee identified in the Supplier’s Final Supplier Personnel List on or before the Service Transfer Date regarding the Relevant Transfer which has not been agreed in advance with the Suppli</w:t>
      </w:r>
      <w:r>
        <w:rPr>
          <w:rFonts w:ascii="Arial" w:eastAsia="Arial" w:hAnsi="Arial"/>
          <w:color w:val="000000"/>
          <w:sz w:val="24"/>
          <w:szCs w:val="24"/>
        </w:rPr>
        <w:t>er in writing;</w:t>
      </w:r>
    </w:p>
    <w:p w14:paraId="30368C33"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7AD50DA" w14:textId="77777777" w:rsidR="00CB0A10" w:rsidRDefault="00490BDE">
      <w:pPr>
        <w:pStyle w:val="Heading5"/>
        <w:numPr>
          <w:ilvl w:val="4"/>
          <w:numId w:val="8"/>
        </w:numPr>
        <w:ind w:left="3544" w:hanging="1276"/>
        <w:rPr>
          <w:rFonts w:ascii="Arial" w:eastAsia="Arial" w:hAnsi="Arial"/>
          <w:sz w:val="24"/>
          <w:szCs w:val="24"/>
        </w:rPr>
      </w:pPr>
      <w:r>
        <w:rPr>
          <w:rFonts w:ascii="Arial" w:eastAsia="Arial" w:hAnsi="Arial"/>
          <w:sz w:val="24"/>
          <w:szCs w:val="24"/>
        </w:rPr>
        <w:t>in relation to any Transferring Suppl</w:t>
      </w:r>
      <w:r>
        <w:rPr>
          <w:rFonts w:ascii="Arial" w:eastAsia="Arial" w:hAnsi="Arial"/>
          <w:sz w:val="24"/>
          <w:szCs w:val="24"/>
        </w:rPr>
        <w:t>ier Employee identified in the Supplier’s Final Supplier Personnel List, to the extent that the proceeding, claim or demand by HMRC or other statutory authority relates to financial obligations arising after the Service Transfer Date; and</w:t>
      </w:r>
    </w:p>
    <w:p w14:paraId="0F038A3F" w14:textId="77777777" w:rsidR="00CB0A10" w:rsidRDefault="00490BDE">
      <w:pPr>
        <w:pStyle w:val="Heading5"/>
        <w:numPr>
          <w:ilvl w:val="4"/>
          <w:numId w:val="8"/>
        </w:numPr>
        <w:ind w:left="3544" w:hanging="1276"/>
        <w:rPr>
          <w:rFonts w:ascii="Arial" w:eastAsia="Arial" w:hAnsi="Arial"/>
          <w:sz w:val="24"/>
          <w:szCs w:val="24"/>
        </w:rPr>
      </w:pPr>
      <w:r>
        <w:rPr>
          <w:rFonts w:ascii="Arial" w:eastAsia="Arial" w:hAnsi="Arial"/>
          <w:sz w:val="24"/>
          <w:szCs w:val="24"/>
        </w:rPr>
        <w:t>in relation to an</w:t>
      </w:r>
      <w:r>
        <w:rPr>
          <w:rFonts w:ascii="Arial" w:eastAsia="Arial" w:hAnsi="Arial"/>
          <w:sz w:val="24"/>
          <w:szCs w:val="24"/>
        </w:rPr>
        <w:t>y employee who is not a Transferring Supplier Employee identified in the Supplier’s Final Supplier Personnel List, and in respect of whom it is later alleged or determined that the Employment Regulations applied so as to transfer his/her employment from th</w:t>
      </w:r>
      <w:r>
        <w:rPr>
          <w:rFonts w:ascii="Arial" w:eastAsia="Arial" w:hAnsi="Arial"/>
          <w:sz w:val="24"/>
          <w:szCs w:val="24"/>
        </w:rPr>
        <w:t>e Supplier or Subcontractor, to the Replacement Supplier or Replacement Subcontractor to the extent that the proceeding, claim or demand by HMRC or other statutory authority relates to financial obligations arising after the Service Transfer Date;</w:t>
      </w:r>
    </w:p>
    <w:p w14:paraId="15DB5E91"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w:t>
      </w:r>
      <w:r>
        <w:rPr>
          <w:rFonts w:ascii="Arial" w:eastAsia="Arial" w:hAnsi="Arial"/>
          <w:color w:val="000000"/>
          <w:sz w:val="24"/>
          <w:szCs w:val="24"/>
        </w:rPr>
        <w:t xml:space="preserve">e of the Replacement Supplier or Replacement Subcontractor to discharge or procure the discharge of all wages, salaries and all other benefits and all PAYE tax deductions and national insurance contributions relating to the Transferring Supplier Employees </w:t>
      </w:r>
      <w:r>
        <w:rPr>
          <w:rFonts w:ascii="Arial" w:eastAsia="Arial" w:hAnsi="Arial"/>
          <w:color w:val="000000"/>
          <w:sz w:val="24"/>
          <w:szCs w:val="24"/>
        </w:rPr>
        <w:t>identified in the Supplier’s Final Supplier Personnel List in respect of the period from (and including) the Service Transfer Date; and</w:t>
      </w:r>
    </w:p>
    <w:p w14:paraId="1BC7A5B0" w14:textId="77777777" w:rsidR="00CB0A10" w:rsidRDefault="00490BD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w:t>
      </w:r>
      <w:r>
        <w:rPr>
          <w:rFonts w:ascii="Arial" w:eastAsia="Arial" w:hAnsi="Arial"/>
          <w:color w:val="000000"/>
          <w:sz w:val="24"/>
          <w:szCs w:val="24"/>
        </w:rPr>
        <w:t xml:space="preserv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w:t>
      </w:r>
      <w:r>
        <w:rPr>
          <w:rFonts w:ascii="Arial" w:eastAsia="Arial" w:hAnsi="Arial"/>
          <w:color w:val="000000"/>
          <w:sz w:val="24"/>
          <w:szCs w:val="24"/>
        </w:rPr>
        <w:t>r regulation 13 of the Employment Regulations.</w:t>
      </w:r>
    </w:p>
    <w:p w14:paraId="552C0F94" w14:textId="77777777" w:rsidR="00CB0A10" w:rsidRDefault="00CB0A10">
      <w:pPr>
        <w:pBdr>
          <w:top w:val="nil"/>
          <w:left w:val="nil"/>
          <w:bottom w:val="nil"/>
          <w:right w:val="nil"/>
          <w:between w:val="nil"/>
        </w:pBdr>
        <w:spacing w:before="120" w:after="120"/>
        <w:ind w:left="2214" w:hanging="1080"/>
        <w:rPr>
          <w:rFonts w:ascii="Arial" w:eastAsia="Arial" w:hAnsi="Arial"/>
          <w:color w:val="000000"/>
          <w:sz w:val="24"/>
          <w:szCs w:val="24"/>
        </w:rPr>
      </w:pPr>
    </w:p>
    <w:p w14:paraId="165E74EA" w14:textId="77777777" w:rsidR="00CB0A10" w:rsidRDefault="00490BDE">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CB0A1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E113F" w14:textId="77777777" w:rsidR="00490BDE" w:rsidRDefault="00490BDE">
      <w:pPr>
        <w:spacing w:after="0"/>
      </w:pPr>
      <w:r>
        <w:separator/>
      </w:r>
    </w:p>
  </w:endnote>
  <w:endnote w:type="continuationSeparator" w:id="0">
    <w:p w14:paraId="57A88BCC" w14:textId="77777777" w:rsidR="00490BDE" w:rsidRDefault="00490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auto"/>
    <w:pitch w:val="default"/>
  </w:font>
  <w:font w:name="Times New Roman">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C341" w14:textId="77777777" w:rsidR="00CB0A10" w:rsidRDefault="00CB0A10">
    <w:pPr>
      <w:tabs>
        <w:tab w:val="center" w:pos="4513"/>
        <w:tab w:val="right" w:pos="9026"/>
      </w:tabs>
      <w:spacing w:after="0"/>
      <w:rPr>
        <w:rFonts w:ascii="Arial" w:eastAsia="Arial" w:hAnsi="Arial"/>
        <w:color w:val="A6A6A6"/>
        <w:sz w:val="20"/>
        <w:szCs w:val="20"/>
      </w:rPr>
    </w:pPr>
  </w:p>
  <w:p w14:paraId="032B57E7" w14:textId="77777777" w:rsidR="00CB0A10" w:rsidRDefault="00490BDE">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0D7F0BE" w14:textId="77777777" w:rsidR="00CB0A10" w:rsidRDefault="00490BD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E24CF">
      <w:rPr>
        <w:rFonts w:ascii="Arial" w:eastAsia="Arial" w:hAnsi="Arial"/>
        <w:noProof/>
        <w:color w:val="000000"/>
        <w:sz w:val="20"/>
        <w:szCs w:val="20"/>
      </w:rPr>
      <w:t>1</w:t>
    </w:r>
    <w:r>
      <w:rPr>
        <w:rFonts w:ascii="Arial" w:eastAsia="Arial" w:hAnsi="Arial"/>
        <w:color w:val="000000"/>
        <w:sz w:val="20"/>
        <w:szCs w:val="20"/>
      </w:rPr>
      <w:fldChar w:fldCharType="end"/>
    </w:r>
  </w:p>
  <w:p w14:paraId="673B68DD" w14:textId="77777777" w:rsidR="00CB0A10" w:rsidRDefault="00490BDE">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76B6" w14:textId="77777777" w:rsidR="00CB0A10" w:rsidRDefault="00CB0A10">
    <w:pPr>
      <w:tabs>
        <w:tab w:val="center" w:pos="4513"/>
        <w:tab w:val="right" w:pos="9026"/>
      </w:tabs>
      <w:spacing w:after="0"/>
      <w:rPr>
        <w:rFonts w:ascii="Arial" w:eastAsia="Arial" w:hAnsi="Arial"/>
        <w:color w:val="A6A6A6"/>
        <w:sz w:val="20"/>
        <w:szCs w:val="20"/>
      </w:rPr>
    </w:pPr>
  </w:p>
  <w:p w14:paraId="64F7FF27" w14:textId="77777777" w:rsidR="00CB0A10" w:rsidRDefault="00490BDE">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19046F9C" w14:textId="77777777" w:rsidR="00CB0A10" w:rsidRDefault="00490BDE">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5A3A717D" w14:textId="77777777" w:rsidR="00CB0A10" w:rsidRDefault="00490BDE">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F197B" w14:textId="77777777" w:rsidR="00490BDE" w:rsidRDefault="00490BDE">
      <w:pPr>
        <w:spacing w:after="0"/>
      </w:pPr>
      <w:r>
        <w:separator/>
      </w:r>
    </w:p>
  </w:footnote>
  <w:footnote w:type="continuationSeparator" w:id="0">
    <w:p w14:paraId="32D0F6CC" w14:textId="77777777" w:rsidR="00490BDE" w:rsidRDefault="00490B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5D99" w14:textId="77777777" w:rsidR="00CB0A10" w:rsidRDefault="00490BD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w:t>
    </w:r>
    <w:r>
      <w:rPr>
        <w:rFonts w:ascii="Arial" w:eastAsia="Arial" w:hAnsi="Arial"/>
        <w:b/>
        <w:color w:val="000000"/>
        <w:sz w:val="20"/>
        <w:szCs w:val="20"/>
      </w:rPr>
      <w:t>sfer)</w:t>
    </w:r>
  </w:p>
  <w:p w14:paraId="75F48BD9" w14:textId="5188F02B" w:rsidR="00CB0A10" w:rsidRDefault="00490BD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r w:rsidR="002E24CF">
      <w:rPr>
        <w:rFonts w:ascii="Arial" w:eastAsia="Arial" w:hAnsi="Arial"/>
        <w:color w:val="000000"/>
        <w:sz w:val="20"/>
        <w:szCs w:val="20"/>
      </w:rPr>
      <w:t>CCZZ25A04</w:t>
    </w:r>
  </w:p>
  <w:p w14:paraId="41A5F8CC" w14:textId="77777777" w:rsidR="00CB0A10" w:rsidRDefault="00490BD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1746726B" w14:textId="77777777" w:rsidR="00CB0A10" w:rsidRDefault="00CB0A1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F65A1" w14:textId="77777777" w:rsidR="00CB0A10" w:rsidRDefault="00CB0A10">
    <w:pPr>
      <w:pBdr>
        <w:top w:val="nil"/>
        <w:left w:val="nil"/>
        <w:bottom w:val="nil"/>
        <w:right w:val="nil"/>
        <w:between w:val="nil"/>
      </w:pBdr>
      <w:tabs>
        <w:tab w:val="center" w:pos="4513"/>
        <w:tab w:val="right" w:pos="9026"/>
      </w:tabs>
      <w:spacing w:after="0"/>
      <w:rPr>
        <w:color w:val="000000"/>
      </w:rPr>
    </w:pPr>
  </w:p>
  <w:p w14:paraId="56BAB810" w14:textId="77777777" w:rsidR="00CB0A10" w:rsidRDefault="00CB0A10">
    <w:pPr>
      <w:pBdr>
        <w:top w:val="nil"/>
        <w:left w:val="nil"/>
        <w:bottom w:val="nil"/>
        <w:right w:val="nil"/>
        <w:between w:val="nil"/>
      </w:pBdr>
      <w:tabs>
        <w:tab w:val="center" w:pos="4513"/>
        <w:tab w:val="right" w:pos="9026"/>
      </w:tabs>
      <w:spacing w:after="0"/>
      <w:rPr>
        <w:color w:val="000000"/>
      </w:rPr>
    </w:pPr>
  </w:p>
  <w:p w14:paraId="54343133" w14:textId="77777777" w:rsidR="00CB0A10" w:rsidRDefault="00CB0A1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51D"/>
    <w:multiLevelType w:val="multilevel"/>
    <w:tmpl w:val="428C84DC"/>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5F2846"/>
    <w:multiLevelType w:val="multilevel"/>
    <w:tmpl w:val="94B8033C"/>
    <w:lvl w:ilvl="0">
      <w:start w:val="1"/>
      <w:numFmt w:val="decimal"/>
      <w:pStyle w:val="FFWLevel1"/>
      <w:lvlText w:val=""/>
      <w:lvlJc w:val="center"/>
      <w:pPr>
        <w:ind w:left="0" w:hanging="57"/>
      </w:pPr>
    </w:lvl>
    <w:lvl w:ilvl="1">
      <w:start w:val="1"/>
      <w:numFmt w:val="decimal"/>
      <w:pStyle w:val="FFWLevel2"/>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pStyle w:val="FFWLevel3"/>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pStyle w:val="FFWLevel6"/>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4EC0809"/>
    <w:multiLevelType w:val="multilevel"/>
    <w:tmpl w:val="E03C0B1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072D73F4"/>
    <w:multiLevelType w:val="multilevel"/>
    <w:tmpl w:val="673A7AB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4" w15:restartNumberingAfterBreak="0">
    <w:nsid w:val="0F2D5CA4"/>
    <w:multiLevelType w:val="multilevel"/>
    <w:tmpl w:val="7D4E79E6"/>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09D7F92"/>
    <w:multiLevelType w:val="multilevel"/>
    <w:tmpl w:val="A0624A3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151E5671"/>
    <w:multiLevelType w:val="multilevel"/>
    <w:tmpl w:val="0FF204BC"/>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1B455A2D"/>
    <w:multiLevelType w:val="multilevel"/>
    <w:tmpl w:val="8C7A86F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26413642"/>
    <w:multiLevelType w:val="multilevel"/>
    <w:tmpl w:val="688EAA7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51D6ACF"/>
    <w:multiLevelType w:val="multilevel"/>
    <w:tmpl w:val="896099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pStyle w:val="Sch1styleclause"/>
      <w:lvlText w:val="%3)"/>
      <w:lvlJc w:val="left"/>
      <w:pPr>
        <w:ind w:left="1080" w:hanging="360"/>
      </w:pPr>
      <w:rPr>
        <w:rFonts w:ascii="Arial" w:eastAsia="Arial" w:hAnsi="Arial" w:cs="Arial"/>
        <w:sz w:val="22"/>
        <w:szCs w:val="22"/>
      </w:rPr>
    </w:lvl>
    <w:lvl w:ilvl="3">
      <w:start w:val="1"/>
      <w:numFmt w:val="decimal"/>
      <w:pStyle w:val="Sch1stylesubclause"/>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28E032A"/>
    <w:multiLevelType w:val="multilevel"/>
    <w:tmpl w:val="0BE4981E"/>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4FA7F47"/>
    <w:multiLevelType w:val="multilevel"/>
    <w:tmpl w:val="5C4C4ECA"/>
    <w:lvl w:ilvl="0">
      <w:start w:val="6"/>
      <w:numFmt w:val="decimal"/>
      <w:pStyle w:val="ListBullet2"/>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73D622FF"/>
    <w:multiLevelType w:val="multilevel"/>
    <w:tmpl w:val="7D30109A"/>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0"/>
  </w:num>
  <w:num w:numId="2">
    <w:abstractNumId w:val="6"/>
  </w:num>
  <w:num w:numId="3">
    <w:abstractNumId w:val="0"/>
  </w:num>
  <w:num w:numId="4">
    <w:abstractNumId w:val="11"/>
  </w:num>
  <w:num w:numId="5">
    <w:abstractNumId w:val="4"/>
  </w:num>
  <w:num w:numId="6">
    <w:abstractNumId w:val="3"/>
  </w:num>
  <w:num w:numId="7">
    <w:abstractNumId w:val="9"/>
  </w:num>
  <w:num w:numId="8">
    <w:abstractNumId w:val="1"/>
  </w:num>
  <w:num w:numId="9">
    <w:abstractNumId w:val="8"/>
  </w:num>
  <w:num w:numId="10">
    <w:abstractNumId w:val="7"/>
  </w:num>
  <w:num w:numId="11">
    <w:abstractNumId w:val="2"/>
  </w:num>
  <w:num w:numId="12">
    <w:abstractNumId w:val="5"/>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A10"/>
    <w:rsid w:val="002E24CF"/>
    <w:rsid w:val="00490BDE"/>
    <w:rsid w:val="00CB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6E7CA"/>
  <w15:docId w15:val="{DE654A0C-5A3F-42AF-A9F1-B0E01B7E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3"/>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3"/>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3"/>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3"/>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3"/>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3"/>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3"/>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3"/>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3"/>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num" w:pos="2160"/>
        <w:tab w:val="left" w:pos="3119"/>
      </w:tabs>
      <w:ind w:left="2160" w:hanging="720"/>
    </w:pPr>
  </w:style>
  <w:style w:type="paragraph" w:customStyle="1" w:styleId="GPSL6numbered">
    <w:name w:val="GPS L6 numbered"/>
    <w:basedOn w:val="GPSL5numberedclause"/>
    <w:uiPriority w:val="99"/>
    <w:qFormat/>
    <w:rsid w:val="00D13878"/>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rsid w:val="00D13878"/>
    <w:pPr>
      <w:tabs>
        <w:tab w:val="left" w:pos="175"/>
        <w:tab w:val="num" w:pos="720"/>
      </w:tabs>
      <w:spacing w:after="120"/>
      <w:ind w:left="720" w:hanging="720"/>
    </w:pPr>
  </w:style>
  <w:style w:type="paragraph" w:customStyle="1" w:styleId="GPSDefinitionL2">
    <w:name w:val="GPS Definition L2"/>
    <w:basedOn w:val="GPsDefinition"/>
    <w:uiPriority w:val="99"/>
    <w:qFormat/>
    <w:rsid w:val="00D13878"/>
    <w:pPr>
      <w:numPr>
        <w:ilvl w:val="1"/>
      </w:numPr>
      <w:tabs>
        <w:tab w:val="num" w:pos="720"/>
      </w:tabs>
      <w:ind w:left="720" w:hanging="720"/>
    </w:pPr>
  </w:style>
  <w:style w:type="paragraph" w:customStyle="1" w:styleId="GPSDefinitionL3">
    <w:name w:val="GPS Definition L3"/>
    <w:basedOn w:val="GPSDefinitionL2"/>
    <w:uiPriority w:val="99"/>
    <w:qFormat/>
    <w:rsid w:val="00D13878"/>
    <w:pPr>
      <w:numPr>
        <w:ilvl w:val="2"/>
      </w:numPr>
      <w:tabs>
        <w:tab w:val="num" w:pos="720"/>
      </w:tabs>
      <w:ind w:left="720" w:hanging="720"/>
    </w:pPr>
  </w:style>
  <w:style w:type="paragraph" w:customStyle="1" w:styleId="GPSDefinitionL4">
    <w:name w:val="GPS Definition L4"/>
    <w:basedOn w:val="GPSDefinitionL3"/>
    <w:uiPriority w:val="99"/>
    <w:qFormat/>
    <w:rsid w:val="00D13878"/>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table" w:customStyle="1" w:styleId="ae">
    <w:basedOn w:val="TableNormal"/>
    <w:pPr>
      <w:ind w:left="360" w:hanging="360"/>
    </w:pPr>
    <w:rPr>
      <w:color w:val="000000"/>
    </w:rPr>
    <w:tblPr>
      <w:tblStyleRowBandSize w:val="1"/>
      <w:tblStyleColBandSize w:val="1"/>
      <w:tblCellMar>
        <w:left w:w="115" w:type="dxa"/>
        <w:right w:w="115" w:type="dxa"/>
      </w:tblCellMar>
    </w:tblPr>
  </w:style>
  <w:style w:type="table" w:customStyle="1" w:styleId="af">
    <w:basedOn w:val="TableNormal"/>
    <w:pPr>
      <w:ind w:left="360" w:hanging="360"/>
    </w:pPr>
    <w:rPr>
      <w:color w:val="000000"/>
    </w:rPr>
    <w:tblPr>
      <w:tblStyleRowBandSize w:val="1"/>
      <w:tblStyleColBandSize w:val="1"/>
      <w:tblCellMar>
        <w:left w:w="115" w:type="dxa"/>
        <w:right w:w="115" w:type="dxa"/>
      </w:tblCellMar>
    </w:tblPr>
  </w:style>
  <w:style w:type="table" w:customStyle="1" w:styleId="af0">
    <w:basedOn w:val="TableNormal"/>
    <w:pPr>
      <w:ind w:left="360" w:hanging="360"/>
    </w:pPr>
    <w:rPr>
      <w:color w:val="000000"/>
    </w:rPr>
    <w:tblPr>
      <w:tblStyleRowBandSize w:val="1"/>
      <w:tblStyleColBandSize w:val="1"/>
      <w:tblCellMar>
        <w:left w:w="115" w:type="dxa"/>
        <w:right w:w="115" w:type="dxa"/>
      </w:tblCellMar>
    </w:tblPr>
  </w:style>
  <w:style w:type="table" w:customStyle="1" w:styleId="af1">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KkdokupEjIzIJcduSRa2XQHkng==">CgMxLjAyCGguZ2pkZ3hzMgloLjMwajB6bGwyCWguNDl4MmlrNTIJaC4ycDJjc3J5MgloLjE0N24yenIyCWguM283YWxuazIJaC4yM2NrdnZkMghoLmlodjYzNjIJaC4zMmhpb3F6MgloLjFobXN5eXMyCWguMzRnMGR3ZDIJaC4xamxhbzQ2MgloLjQza3k2cnoyCWguMmlxOGd6czIIaC54dmlyN2wyCWguM2h2Njl2ZTIJaC4xeDBnazM3MgloLjRoMDQycjAyCWguMnc1ZWN5dDIJaC4xYmFvbjZtMgloLjN2YWM1dWYyCWguMmFmbWcyODIIaC5wa3dxYTEyCWguMzlrazh4dTIJaC4xb3B1ajVuMgloLjQ4cGkxdGc4AGolChRzdWdnZXN0LnBlOHVpMndkMmR1ZxINQnJpZGdoZSBGb3JkZWolChRzdWdnZXN0LnY0Y2pqc2Jxb3kzORINQnJpZGdoZSBGb3JkZXIhMXpPamNmTTVFNHV5VXY5QW5wNVFyMDVqX1VkbXpFdzh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6071</Words>
  <Characters>34605</Characters>
  <Application>Microsoft Office Word</Application>
  <DocSecurity>0</DocSecurity>
  <Lines>288</Lines>
  <Paragraphs>81</Paragraphs>
  <ScaleCrop>false</ScaleCrop>
  <Company/>
  <LinksUpToDate>false</LinksUpToDate>
  <CharactersWithSpaces>40595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Bridghe Forde</dc:creator>
  <cp:lastModifiedBy>Alistair Rusholme</cp:lastModifiedBy>
  <cp:revision>2</cp:revision>
  <dcterms:created xsi:type="dcterms:W3CDTF">2024-12-04T10:11:00Z</dcterms:created>
  <dcterms:modified xsi:type="dcterms:W3CDTF">2025-06-03T15:59:00Z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